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9AFC" w14:textId="23389073" w:rsidR="00B0745C" w:rsidRDefault="00B0745C" w:rsidP="00B0745C">
      <w:pPr>
        <w:pStyle w:val="Heading1"/>
        <w:numPr>
          <w:ilvl w:val="0"/>
          <w:numId w:val="0"/>
        </w:numPr>
      </w:pPr>
      <w:bookmarkStart w:id="0" w:name="_Toc512347787"/>
      <w:r>
        <w:t>Glossary</w:t>
      </w:r>
      <w:bookmarkStart w:id="1" w:name="_GoBack"/>
      <w:bookmarkEnd w:id="0"/>
      <w:bookmarkEnd w:id="1"/>
    </w:p>
    <w:tbl>
      <w:tblPr>
        <w:tblStyle w:val="GridTable4-Accent1"/>
        <w:tblW w:w="10060" w:type="dxa"/>
        <w:tblLook w:val="04A0" w:firstRow="1" w:lastRow="0" w:firstColumn="1" w:lastColumn="0" w:noHBand="0" w:noVBand="1"/>
      </w:tblPr>
      <w:tblGrid>
        <w:gridCol w:w="2122"/>
        <w:gridCol w:w="7938"/>
      </w:tblGrid>
      <w:tr w:rsidR="00F14592" w:rsidRPr="00994B83" w14:paraId="5F240CB4" w14:textId="77777777" w:rsidTr="00EC07A9">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122" w:type="dxa"/>
          </w:tcPr>
          <w:p w14:paraId="2CE3119B" w14:textId="77777777" w:rsidR="00F14592" w:rsidRPr="00994B83" w:rsidRDefault="00F14592" w:rsidP="008E1DCB">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Term</w:t>
            </w:r>
          </w:p>
        </w:tc>
        <w:tc>
          <w:tcPr>
            <w:tcW w:w="7938" w:type="dxa"/>
          </w:tcPr>
          <w:p w14:paraId="1E272786" w14:textId="77777777" w:rsidR="00F14592" w:rsidRPr="00994B83" w:rsidRDefault="00F14592" w:rsidP="008E1DCB">
            <w:pPr>
              <w:spacing w:before="40" w:after="40" w:line="240" w:lineRule="auto"/>
              <w:ind w:left="0"/>
              <w:cnfStyle w:val="100000000000" w:firstRow="1" w:lastRow="0" w:firstColumn="0" w:lastColumn="0" w:oddVBand="0" w:evenVBand="0" w:oddHBand="0" w:evenHBand="0" w:firstRowFirstColumn="0" w:firstRowLastColumn="0" w:lastRowFirstColumn="0" w:lastRowLastColumn="0"/>
              <w:rPr>
                <w:rFonts w:ascii="Calibri" w:hAnsi="Calibri"/>
                <w:sz w:val="20"/>
                <w:szCs w:val="20"/>
                <w:lang w:eastAsia="en-GB"/>
              </w:rPr>
            </w:pPr>
            <w:r w:rsidRPr="00994B83">
              <w:rPr>
                <w:rFonts w:ascii="Calibri" w:hAnsi="Calibri"/>
                <w:sz w:val="20"/>
                <w:szCs w:val="20"/>
                <w:lang w:eastAsia="en-GB"/>
              </w:rPr>
              <w:t>Definition</w:t>
            </w:r>
          </w:p>
        </w:tc>
      </w:tr>
      <w:tr w:rsidR="00F14592" w:rsidRPr="00994B83" w14:paraId="76771086"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05084B1B" w14:textId="211386A0" w:rsidR="00F14592" w:rsidRPr="00994B83" w:rsidRDefault="00E80988"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Aquifer</w:t>
            </w:r>
          </w:p>
        </w:tc>
        <w:tc>
          <w:tcPr>
            <w:tcW w:w="7938" w:type="dxa"/>
          </w:tcPr>
          <w:p w14:paraId="2A360BFF" w14:textId="647E358B" w:rsidR="00F14592" w:rsidRPr="00994B83" w:rsidRDefault="00735D8F" w:rsidP="00F14592">
            <w:pPr>
              <w:spacing w:before="40" w:after="4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lang w:eastAsia="en-GB"/>
              </w:rPr>
            </w:pPr>
            <w:r w:rsidRPr="00994B83">
              <w:rPr>
                <w:rFonts w:ascii="Calibri" w:hAnsi="Calibri"/>
                <w:sz w:val="20"/>
                <w:szCs w:val="20"/>
                <w:lang w:eastAsia="en-GB"/>
              </w:rPr>
              <w:t xml:space="preserve">Underground layers of saturated rock </w:t>
            </w:r>
            <w:r w:rsidR="001E423B" w:rsidRPr="00994B83">
              <w:rPr>
                <w:rFonts w:ascii="Calibri" w:hAnsi="Calibri"/>
                <w:sz w:val="20"/>
                <w:szCs w:val="20"/>
                <w:lang w:eastAsia="en-GB"/>
              </w:rPr>
              <w:t>through which water can readily move. Water can be transmitted to the surface via natural springs and wells.</w:t>
            </w:r>
          </w:p>
        </w:tc>
      </w:tr>
      <w:tr w:rsidR="00E80988" w:rsidRPr="00994B83" w14:paraId="5103A384"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02576B7C" w14:textId="0CB19E90" w:rsidR="00E80988" w:rsidRPr="00994B83" w:rsidRDefault="00E80988"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Catchment</w:t>
            </w:r>
          </w:p>
        </w:tc>
        <w:tc>
          <w:tcPr>
            <w:tcW w:w="7938" w:type="dxa"/>
          </w:tcPr>
          <w:p w14:paraId="6EC32F8A" w14:textId="243DCA6C" w:rsidR="00E80988" w:rsidRPr="00994B83" w:rsidRDefault="00E80988" w:rsidP="00F14592">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lang w:eastAsia="en-GB"/>
              </w:rPr>
            </w:pPr>
            <w:r w:rsidRPr="00994B83">
              <w:rPr>
                <w:rFonts w:ascii="Calibri" w:hAnsi="Calibri"/>
                <w:sz w:val="20"/>
                <w:szCs w:val="20"/>
                <w:lang w:eastAsia="en-GB"/>
              </w:rPr>
              <w:t>An area which drains to a specific watercourse, or a given point on a watercourse, waterbody or other body of water.</w:t>
            </w:r>
          </w:p>
        </w:tc>
      </w:tr>
      <w:tr w:rsidR="00C66403" w:rsidRPr="00994B83" w14:paraId="3019DEB1"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5969F7FA" w14:textId="12830208" w:rsidR="00C66403" w:rsidRPr="00994B83" w:rsidRDefault="00C66403"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Critical Drainage Area</w:t>
            </w:r>
            <w:r w:rsidR="007C342C">
              <w:rPr>
                <w:rFonts w:ascii="Calibri" w:hAnsi="Calibri"/>
                <w:sz w:val="20"/>
                <w:szCs w:val="20"/>
                <w:lang w:eastAsia="en-GB"/>
              </w:rPr>
              <w:t xml:space="preserve"> </w:t>
            </w:r>
          </w:p>
        </w:tc>
        <w:tc>
          <w:tcPr>
            <w:tcW w:w="7938" w:type="dxa"/>
          </w:tcPr>
          <w:p w14:paraId="515B2150" w14:textId="49B49269" w:rsidR="00B833C0" w:rsidRPr="00B833C0" w:rsidRDefault="00C66403" w:rsidP="00F14592">
            <w:pPr>
              <w:spacing w:before="40" w:after="40" w:line="24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994B83">
              <w:rPr>
                <w:sz w:val="20"/>
                <w:szCs w:val="20"/>
              </w:rPr>
              <w:t>Specific geographic areas (usually catchment areas) that have been identified as having multiple and interlinked sources of flood risk (surface water, groundwater, sewer, main river and/or tidal) during heavy weather periods, leaving people, property and local infrastructure at risk.</w:t>
            </w:r>
            <w:r w:rsidR="00B833C0">
              <w:rPr>
                <w:sz w:val="20"/>
                <w:szCs w:val="20"/>
              </w:rPr>
              <w:t xml:space="preserve"> These areas are defined by a Borough’s Surface Water Management Plan (SWMP) and does not include areas with critical drainage problems as designated by the EA.</w:t>
            </w:r>
            <w:r w:rsidR="00B833C0" w:rsidRPr="00F3295A">
              <w:rPr>
                <w:i/>
              </w:rPr>
              <w:t xml:space="preserve"> </w:t>
            </w:r>
          </w:p>
        </w:tc>
      </w:tr>
      <w:tr w:rsidR="00F14592" w:rsidRPr="00994B83" w14:paraId="0B7DCBAB"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50C1CB2E" w14:textId="77777777" w:rsidR="00F14592" w:rsidRPr="00994B83" w:rsidRDefault="00F14592" w:rsidP="00F14592">
            <w:pPr>
              <w:spacing w:before="40" w:after="40" w:line="240" w:lineRule="auto"/>
              <w:ind w:left="0"/>
              <w:jc w:val="center"/>
              <w:rPr>
                <w:rFonts w:ascii="Calibri" w:hAnsi="Calibri"/>
                <w:sz w:val="20"/>
                <w:szCs w:val="20"/>
                <w:lang w:eastAsia="en-GB"/>
              </w:rPr>
            </w:pPr>
            <w:r w:rsidRPr="00994B83">
              <w:rPr>
                <w:sz w:val="20"/>
                <w:szCs w:val="20"/>
              </w:rPr>
              <w:t>Development</w:t>
            </w:r>
          </w:p>
        </w:tc>
        <w:tc>
          <w:tcPr>
            <w:tcW w:w="7938" w:type="dxa"/>
          </w:tcPr>
          <w:p w14:paraId="359C9022" w14:textId="77777777" w:rsidR="00F14592" w:rsidRPr="00994B83" w:rsidRDefault="00F14592" w:rsidP="00C51066">
            <w:pPr>
              <w:spacing w:before="40" w:after="40"/>
              <w:ind w:left="0"/>
              <w:contextualSpacing/>
              <w:cnfStyle w:val="000000000000" w:firstRow="0" w:lastRow="0" w:firstColumn="0" w:lastColumn="0" w:oddVBand="0" w:evenVBand="0" w:oddHBand="0" w:evenHBand="0" w:firstRowFirstColumn="0" w:firstRowLastColumn="0" w:lastRowFirstColumn="0" w:lastRowLastColumn="0"/>
              <w:rPr>
                <w:sz w:val="20"/>
                <w:szCs w:val="20"/>
              </w:rPr>
            </w:pPr>
            <w:r w:rsidRPr="00994B83">
              <w:rPr>
                <w:sz w:val="20"/>
                <w:szCs w:val="20"/>
              </w:rPr>
              <w:t>Defined as one (or more) of the following:</w:t>
            </w:r>
          </w:p>
          <w:p w14:paraId="52523BD2" w14:textId="20C39A3F" w:rsidR="00F14592" w:rsidRPr="00994B83" w:rsidRDefault="00F14592" w:rsidP="00AD4773">
            <w:pPr>
              <w:numPr>
                <w:ilvl w:val="0"/>
                <w:numId w:val="24"/>
              </w:numPr>
              <w:spacing w:before="40" w:after="40" w:line="240" w:lineRule="auto"/>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94B83">
              <w:rPr>
                <w:sz w:val="20"/>
                <w:szCs w:val="20"/>
              </w:rPr>
              <w:t>Building operations, which includes structural alterations, construction, rebuilding, and most demolition</w:t>
            </w:r>
            <w:r w:rsidR="001B3DE5" w:rsidRPr="00994B83">
              <w:rPr>
                <w:sz w:val="20"/>
                <w:szCs w:val="20"/>
              </w:rPr>
              <w:t>.</w:t>
            </w:r>
          </w:p>
          <w:p w14:paraId="37CDCE77" w14:textId="77777777" w:rsidR="00F14592" w:rsidRPr="00994B83" w:rsidRDefault="00F14592" w:rsidP="00AD4773">
            <w:pPr>
              <w:numPr>
                <w:ilvl w:val="0"/>
                <w:numId w:val="24"/>
              </w:numPr>
              <w:spacing w:before="40" w:after="40" w:line="240" w:lineRule="auto"/>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94B83">
              <w:rPr>
                <w:sz w:val="20"/>
                <w:szCs w:val="20"/>
              </w:rPr>
              <w:t>Material changes of use of land and buildings.</w:t>
            </w:r>
          </w:p>
          <w:p w14:paraId="6D7689A3" w14:textId="77777777" w:rsidR="00F14592" w:rsidRPr="00994B83" w:rsidRDefault="00F14592" w:rsidP="00AD4773">
            <w:pPr>
              <w:numPr>
                <w:ilvl w:val="0"/>
                <w:numId w:val="24"/>
              </w:numPr>
              <w:spacing w:before="40" w:after="40" w:line="240" w:lineRule="auto"/>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94B83">
              <w:rPr>
                <w:sz w:val="20"/>
                <w:szCs w:val="20"/>
              </w:rPr>
              <w:t>Certain engineering operations such as groundworks.</w:t>
            </w:r>
          </w:p>
          <w:p w14:paraId="778B2D52" w14:textId="77777777" w:rsidR="00F14592" w:rsidRPr="00994B83" w:rsidRDefault="00F14592" w:rsidP="00AD4773">
            <w:pPr>
              <w:numPr>
                <w:ilvl w:val="0"/>
                <w:numId w:val="24"/>
              </w:numPr>
              <w:spacing w:before="40" w:after="40" w:line="240" w:lineRule="auto"/>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94B83">
              <w:rPr>
                <w:sz w:val="20"/>
                <w:szCs w:val="20"/>
              </w:rPr>
              <w:t>Mining operations.</w:t>
            </w:r>
          </w:p>
          <w:p w14:paraId="31568D6A" w14:textId="77777777" w:rsidR="00F14592" w:rsidRPr="00994B83" w:rsidRDefault="00F14592" w:rsidP="00AD4773">
            <w:pPr>
              <w:numPr>
                <w:ilvl w:val="0"/>
                <w:numId w:val="24"/>
              </w:numPr>
              <w:spacing w:before="40" w:after="40" w:line="240" w:lineRule="auto"/>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94B83">
              <w:rPr>
                <w:sz w:val="20"/>
                <w:szCs w:val="20"/>
              </w:rPr>
              <w:t>Other operations normally undertaken by a person carrying on a business as a builder.</w:t>
            </w:r>
          </w:p>
          <w:p w14:paraId="607BE144" w14:textId="718B5FD5" w:rsidR="00F14592" w:rsidRPr="00994B83" w:rsidRDefault="00F14592" w:rsidP="00AD4773">
            <w:pPr>
              <w:numPr>
                <w:ilvl w:val="0"/>
                <w:numId w:val="24"/>
              </w:numPr>
              <w:spacing w:before="40" w:after="40" w:line="240" w:lineRule="auto"/>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994B83">
              <w:rPr>
                <w:sz w:val="20"/>
                <w:szCs w:val="20"/>
              </w:rPr>
              <w:t xml:space="preserve">Subdivision of a building (including any part it) used as a dwelling for use as </w:t>
            </w:r>
            <w:r w:rsidR="007C342C">
              <w:rPr>
                <w:sz w:val="20"/>
                <w:szCs w:val="20"/>
              </w:rPr>
              <w:t>two</w:t>
            </w:r>
            <w:r w:rsidRPr="00994B83">
              <w:rPr>
                <w:sz w:val="20"/>
                <w:szCs w:val="20"/>
              </w:rPr>
              <w:t xml:space="preserve"> or more separate dwelling houses.</w:t>
            </w:r>
          </w:p>
        </w:tc>
      </w:tr>
      <w:tr w:rsidR="00B60BA8" w:rsidRPr="00994B83" w14:paraId="0DA42D5E"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539D37F3" w14:textId="28183ABE" w:rsidR="00B60BA8" w:rsidRPr="00994B83" w:rsidRDefault="00B60BA8" w:rsidP="00F14592">
            <w:pPr>
              <w:spacing w:before="40" w:after="40" w:line="240" w:lineRule="auto"/>
              <w:ind w:left="0"/>
              <w:jc w:val="center"/>
              <w:rPr>
                <w:sz w:val="20"/>
                <w:szCs w:val="20"/>
              </w:rPr>
            </w:pPr>
            <w:r>
              <w:rPr>
                <w:sz w:val="20"/>
                <w:szCs w:val="20"/>
              </w:rPr>
              <w:t>Drainage Strategy</w:t>
            </w:r>
          </w:p>
        </w:tc>
        <w:tc>
          <w:tcPr>
            <w:tcW w:w="7938" w:type="dxa"/>
          </w:tcPr>
          <w:p w14:paraId="517842B6" w14:textId="5CA6BABA" w:rsidR="00B60BA8" w:rsidRPr="00994B83" w:rsidRDefault="002B21F5" w:rsidP="002B21F5">
            <w:pPr>
              <w:spacing w:before="40" w:after="40"/>
              <w:ind w:left="0"/>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00B60BA8" w:rsidRPr="00B60BA8">
              <w:rPr>
                <w:sz w:val="20"/>
                <w:szCs w:val="20"/>
              </w:rPr>
              <w:t xml:space="preserve"> report </w:t>
            </w:r>
            <w:r>
              <w:rPr>
                <w:sz w:val="20"/>
                <w:szCs w:val="20"/>
              </w:rPr>
              <w:t xml:space="preserve">analysing </w:t>
            </w:r>
            <w:r w:rsidR="00B60BA8" w:rsidRPr="00B60BA8">
              <w:rPr>
                <w:sz w:val="20"/>
                <w:szCs w:val="20"/>
              </w:rPr>
              <w:t>surface water</w:t>
            </w:r>
            <w:r>
              <w:rPr>
                <w:sz w:val="20"/>
                <w:szCs w:val="20"/>
              </w:rPr>
              <w:t xml:space="preserve"> flood risk for the proposed </w:t>
            </w:r>
            <w:r w:rsidR="00B60BA8" w:rsidRPr="00B60BA8">
              <w:rPr>
                <w:sz w:val="20"/>
                <w:szCs w:val="20"/>
              </w:rPr>
              <w:t xml:space="preserve">site and the surrounding area. </w:t>
            </w:r>
            <w:r>
              <w:rPr>
                <w:sz w:val="20"/>
                <w:szCs w:val="20"/>
                <w:lang w:val="en-US"/>
              </w:rPr>
              <w:t xml:space="preserve">The strategy should </w:t>
            </w:r>
            <w:r>
              <w:rPr>
                <w:sz w:val="20"/>
                <w:szCs w:val="20"/>
              </w:rPr>
              <w:t xml:space="preserve">analyse </w:t>
            </w:r>
            <w:r w:rsidR="00B60BA8" w:rsidRPr="00B60BA8">
              <w:rPr>
                <w:sz w:val="20"/>
                <w:szCs w:val="20"/>
              </w:rPr>
              <w:t>water behav</w:t>
            </w:r>
            <w:r>
              <w:rPr>
                <w:sz w:val="20"/>
                <w:szCs w:val="20"/>
              </w:rPr>
              <w:t>iour</w:t>
            </w:r>
            <w:r w:rsidR="00B60BA8" w:rsidRPr="00B60BA8">
              <w:rPr>
                <w:sz w:val="20"/>
                <w:szCs w:val="20"/>
              </w:rPr>
              <w:t xml:space="preserve"> </w:t>
            </w:r>
            <w:r>
              <w:rPr>
                <w:sz w:val="20"/>
                <w:szCs w:val="20"/>
              </w:rPr>
              <w:t>around the site</w:t>
            </w:r>
            <w:r w:rsidR="00B60BA8" w:rsidRPr="00B60BA8">
              <w:rPr>
                <w:sz w:val="20"/>
                <w:szCs w:val="20"/>
              </w:rPr>
              <w:t xml:space="preserve">, </w:t>
            </w:r>
            <w:r>
              <w:rPr>
                <w:sz w:val="20"/>
                <w:szCs w:val="20"/>
              </w:rPr>
              <w:t xml:space="preserve">establishing </w:t>
            </w:r>
            <w:r w:rsidR="00B60BA8" w:rsidRPr="00B60BA8">
              <w:rPr>
                <w:sz w:val="20"/>
                <w:szCs w:val="20"/>
              </w:rPr>
              <w:t>runoff rate</w:t>
            </w:r>
            <w:r>
              <w:rPr>
                <w:sz w:val="20"/>
                <w:szCs w:val="20"/>
              </w:rPr>
              <w:t>s,</w:t>
            </w:r>
            <w:r w:rsidR="00B60BA8" w:rsidRPr="00B60BA8">
              <w:rPr>
                <w:sz w:val="20"/>
                <w:szCs w:val="20"/>
              </w:rPr>
              <w:t xml:space="preserve"> flow pathways</w:t>
            </w:r>
            <w:r>
              <w:rPr>
                <w:sz w:val="20"/>
                <w:szCs w:val="20"/>
              </w:rPr>
              <w:t xml:space="preserve"> and flood depths under different rainfall events. The strategy should also investigate the impacts that the proposed development will have on the </w:t>
            </w:r>
            <w:proofErr w:type="gramStart"/>
            <w:r>
              <w:rPr>
                <w:sz w:val="20"/>
                <w:szCs w:val="20"/>
              </w:rPr>
              <w:t>site, and</w:t>
            </w:r>
            <w:proofErr w:type="gramEnd"/>
            <w:r>
              <w:rPr>
                <w:sz w:val="20"/>
                <w:szCs w:val="20"/>
              </w:rPr>
              <w:t xml:space="preserve"> provide measures to ensure the site is compliant with national and local policy requirements.</w:t>
            </w:r>
          </w:p>
        </w:tc>
      </w:tr>
      <w:tr w:rsidR="00FD1C6F" w:rsidRPr="00994B83" w14:paraId="20CACEA2"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5B386107" w14:textId="249AC29A" w:rsidR="00FD1C6F" w:rsidRPr="00994B83" w:rsidRDefault="00FD1C6F" w:rsidP="00F14592">
            <w:pPr>
              <w:spacing w:before="40" w:after="40" w:line="240" w:lineRule="auto"/>
              <w:ind w:left="0"/>
              <w:jc w:val="center"/>
              <w:rPr>
                <w:sz w:val="20"/>
                <w:szCs w:val="20"/>
              </w:rPr>
            </w:pPr>
            <w:r w:rsidRPr="00FD1C6F">
              <w:rPr>
                <w:sz w:val="20"/>
                <w:szCs w:val="20"/>
                <w:lang w:val="en-US"/>
              </w:rPr>
              <w:t xml:space="preserve">Dry </w:t>
            </w:r>
            <w:r>
              <w:rPr>
                <w:sz w:val="20"/>
                <w:szCs w:val="20"/>
                <w:lang w:val="en-US"/>
              </w:rPr>
              <w:t>I</w:t>
            </w:r>
            <w:r w:rsidRPr="00FD1C6F">
              <w:rPr>
                <w:sz w:val="20"/>
                <w:szCs w:val="20"/>
                <w:lang w:val="en-US"/>
              </w:rPr>
              <w:t>sland</w:t>
            </w:r>
          </w:p>
        </w:tc>
        <w:tc>
          <w:tcPr>
            <w:tcW w:w="7938" w:type="dxa"/>
          </w:tcPr>
          <w:p w14:paraId="1CEF3B83" w14:textId="7052E1F9" w:rsidR="00FD1C6F" w:rsidRPr="00994B83" w:rsidRDefault="00FD1C6F" w:rsidP="00C51066">
            <w:pPr>
              <w:spacing w:before="40" w:after="40"/>
              <w:ind w:left="0"/>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US"/>
              </w:rPr>
              <w:t>An a</w:t>
            </w:r>
            <w:r w:rsidRPr="00FD1C6F">
              <w:rPr>
                <w:sz w:val="20"/>
                <w:szCs w:val="20"/>
                <w:lang w:val="en-US"/>
              </w:rPr>
              <w:t xml:space="preserve">rea in Flood Zone </w:t>
            </w:r>
            <w:r w:rsidR="002B725B">
              <w:rPr>
                <w:sz w:val="20"/>
                <w:szCs w:val="20"/>
                <w:lang w:val="en-US"/>
              </w:rPr>
              <w:t>2</w:t>
            </w:r>
            <w:r w:rsidRPr="00FD1C6F">
              <w:rPr>
                <w:sz w:val="20"/>
                <w:szCs w:val="20"/>
                <w:lang w:val="en-US"/>
              </w:rPr>
              <w:t xml:space="preserve"> or </w:t>
            </w:r>
            <w:r w:rsidR="002B725B">
              <w:rPr>
                <w:sz w:val="20"/>
                <w:szCs w:val="20"/>
                <w:lang w:val="en-US"/>
              </w:rPr>
              <w:t>3</w:t>
            </w:r>
            <w:r w:rsidRPr="00FD1C6F">
              <w:rPr>
                <w:sz w:val="20"/>
                <w:szCs w:val="20"/>
                <w:lang w:val="en-US"/>
              </w:rPr>
              <w:t xml:space="preserve"> surrounded by land which has a higher risk of flooding.</w:t>
            </w:r>
          </w:p>
        </w:tc>
      </w:tr>
      <w:tr w:rsidR="00F14592" w:rsidRPr="00994B83" w14:paraId="047CF479"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73FB0A0D" w14:textId="77777777" w:rsidR="00F14592" w:rsidRPr="00994B83" w:rsidRDefault="00F14592"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Exception Test</w:t>
            </w:r>
          </w:p>
        </w:tc>
        <w:tc>
          <w:tcPr>
            <w:tcW w:w="7938" w:type="dxa"/>
          </w:tcPr>
          <w:p w14:paraId="00BD9800" w14:textId="51F3CC0E" w:rsidR="00F14592" w:rsidRPr="00994B83" w:rsidRDefault="00F14592" w:rsidP="00F14592">
            <w:pPr>
              <w:spacing w:before="40" w:after="4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lang w:eastAsia="en-GB"/>
              </w:rPr>
            </w:pPr>
            <w:r w:rsidRPr="00994B83">
              <w:rPr>
                <w:rFonts w:ascii="Calibri" w:hAnsi="Calibri"/>
                <w:sz w:val="20"/>
                <w:szCs w:val="20"/>
                <w:lang w:eastAsia="en-GB"/>
              </w:rPr>
              <w:t xml:space="preserve">Defined within the Flood Risk and Coastal Change </w:t>
            </w:r>
            <w:hyperlink r:id="rId9" w:anchor="The-Exception-Test-section" w:history="1">
              <w:r w:rsidRPr="00225F34">
                <w:rPr>
                  <w:rStyle w:val="Hyperlink"/>
                  <w:rFonts w:ascii="Calibri" w:hAnsi="Calibri"/>
                  <w:sz w:val="20"/>
                  <w:szCs w:val="20"/>
                  <w:lang w:eastAsia="en-GB"/>
                </w:rPr>
                <w:t>Planning Practice Guidance</w:t>
              </w:r>
            </w:hyperlink>
            <w:r w:rsidRPr="00994B83">
              <w:rPr>
                <w:rFonts w:ascii="Calibri" w:hAnsi="Calibri"/>
                <w:sz w:val="20"/>
                <w:szCs w:val="20"/>
                <w:lang w:eastAsia="en-GB"/>
              </w:rPr>
              <w:t xml:space="preserve">, this is a method carried out </w:t>
            </w:r>
            <w:r w:rsidR="007C342C">
              <w:rPr>
                <w:rFonts w:ascii="Calibri" w:hAnsi="Calibri"/>
                <w:sz w:val="20"/>
                <w:szCs w:val="20"/>
                <w:lang w:eastAsia="en-GB"/>
              </w:rPr>
              <w:t>for</w:t>
            </w:r>
            <w:r w:rsidR="007C342C" w:rsidRPr="00994B83">
              <w:rPr>
                <w:rFonts w:ascii="Calibri" w:hAnsi="Calibri"/>
                <w:sz w:val="20"/>
                <w:szCs w:val="20"/>
                <w:lang w:eastAsia="en-GB"/>
              </w:rPr>
              <w:t xml:space="preserve"> </w:t>
            </w:r>
            <w:r w:rsidRPr="00994B83">
              <w:rPr>
                <w:rFonts w:ascii="Calibri" w:hAnsi="Calibri"/>
                <w:sz w:val="20"/>
                <w:szCs w:val="20"/>
                <w:lang w:eastAsia="en-GB"/>
              </w:rPr>
              <w:t>certain development sites following the application of the Sequential Test. The Exception Test is designed to demonstrate and help ensure that flood risk will be managed satisfactorily, while allowing necessary development to proceed in situations where suitable sites at lower risk of flooding are not available.</w:t>
            </w:r>
          </w:p>
        </w:tc>
      </w:tr>
      <w:tr w:rsidR="00F14592" w:rsidRPr="00994B83" w14:paraId="5FA1CB7E"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48BB6979" w14:textId="77777777" w:rsidR="00F14592" w:rsidRPr="00994B83" w:rsidRDefault="00F14592"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Flood Risk</w:t>
            </w:r>
          </w:p>
        </w:tc>
        <w:tc>
          <w:tcPr>
            <w:tcW w:w="7938" w:type="dxa"/>
          </w:tcPr>
          <w:p w14:paraId="58CA300A" w14:textId="17181C87" w:rsidR="00F14592" w:rsidRPr="00994B83" w:rsidRDefault="00F14592" w:rsidP="00F14592">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lang w:eastAsia="en-GB"/>
              </w:rPr>
            </w:pPr>
            <w:bookmarkStart w:id="2" w:name="_Hlk504484362"/>
            <w:r w:rsidRPr="00994B83">
              <w:rPr>
                <w:rFonts w:ascii="Calibri" w:hAnsi="Calibri"/>
                <w:sz w:val="20"/>
                <w:szCs w:val="20"/>
                <w:lang w:eastAsia="en-GB"/>
              </w:rPr>
              <w:t>A combination of the probability and the potential consequences of flooding from all sources. This includes flood risk from rivers and the sea, directly from rainfall on the ground surface (surface water runoff), rising groundwater, overwhelmed sewers and drainage systems, the overtopping of reservoirs, canals and lakes, and other artificial sources.</w:t>
            </w:r>
            <w:bookmarkEnd w:id="2"/>
          </w:p>
        </w:tc>
      </w:tr>
      <w:tr w:rsidR="00F14592" w:rsidRPr="00994B83" w14:paraId="2D842871"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5D089523" w14:textId="77777777" w:rsidR="00F14592" w:rsidRPr="00994B83" w:rsidRDefault="00F14592"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Flood Risk Assessment</w:t>
            </w:r>
          </w:p>
        </w:tc>
        <w:tc>
          <w:tcPr>
            <w:tcW w:w="7938" w:type="dxa"/>
          </w:tcPr>
          <w:p w14:paraId="2D4E3CED" w14:textId="2F7F2C8F" w:rsidR="00F14592" w:rsidRPr="00994B83" w:rsidRDefault="00F14592" w:rsidP="00F14592">
            <w:pPr>
              <w:spacing w:before="40" w:after="4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lang w:eastAsia="en-GB"/>
              </w:rPr>
            </w:pPr>
            <w:r w:rsidRPr="00994B83">
              <w:rPr>
                <w:rFonts w:ascii="Calibri" w:hAnsi="Calibri"/>
                <w:sz w:val="20"/>
                <w:szCs w:val="20"/>
                <w:lang w:eastAsia="en-GB"/>
              </w:rPr>
              <w:t xml:space="preserve">A </w:t>
            </w:r>
            <w:r w:rsidR="002B1332" w:rsidRPr="00994B83">
              <w:rPr>
                <w:rFonts w:ascii="Calibri" w:hAnsi="Calibri"/>
                <w:sz w:val="20"/>
                <w:szCs w:val="20"/>
                <w:lang w:eastAsia="en-GB"/>
              </w:rPr>
              <w:t>site-specific</w:t>
            </w:r>
            <w:r w:rsidRPr="00994B83">
              <w:rPr>
                <w:rFonts w:ascii="Calibri" w:hAnsi="Calibri"/>
                <w:sz w:val="20"/>
                <w:szCs w:val="20"/>
                <w:lang w:eastAsia="en-GB"/>
              </w:rPr>
              <w:t xml:space="preserve"> study to assess current and future flood risk </w:t>
            </w:r>
            <w:r w:rsidR="007C342C">
              <w:rPr>
                <w:rFonts w:ascii="Calibri" w:hAnsi="Calibri"/>
                <w:sz w:val="20"/>
                <w:szCs w:val="20"/>
                <w:lang w:eastAsia="en-GB"/>
              </w:rPr>
              <w:t>for</w:t>
            </w:r>
            <w:r w:rsidR="007C342C" w:rsidRPr="00994B83">
              <w:rPr>
                <w:rFonts w:ascii="Calibri" w:hAnsi="Calibri"/>
                <w:sz w:val="20"/>
                <w:szCs w:val="20"/>
                <w:lang w:eastAsia="en-GB"/>
              </w:rPr>
              <w:t xml:space="preserve"> </w:t>
            </w:r>
            <w:r w:rsidRPr="00994B83">
              <w:rPr>
                <w:rFonts w:ascii="Calibri" w:hAnsi="Calibri"/>
                <w:sz w:val="20"/>
                <w:szCs w:val="20"/>
                <w:lang w:eastAsia="en-GB"/>
              </w:rPr>
              <w:t>a proposed development area. The Assessment should demonstrate how flood risk will be managed now and in the future during the lifetime of the proposed development.</w:t>
            </w:r>
          </w:p>
        </w:tc>
      </w:tr>
      <w:tr w:rsidR="00F14592" w:rsidRPr="00994B83" w14:paraId="27894842"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42103072" w14:textId="77777777" w:rsidR="00F14592" w:rsidRPr="00994B83" w:rsidRDefault="00F14592" w:rsidP="00F14592">
            <w:pPr>
              <w:spacing w:before="40" w:after="40" w:line="240" w:lineRule="auto"/>
              <w:ind w:left="0"/>
              <w:jc w:val="center"/>
              <w:rPr>
                <w:sz w:val="20"/>
                <w:szCs w:val="20"/>
              </w:rPr>
            </w:pPr>
            <w:r w:rsidRPr="00994B83">
              <w:rPr>
                <w:sz w:val="20"/>
                <w:szCs w:val="20"/>
              </w:rPr>
              <w:t>Flood Storage Compensation</w:t>
            </w:r>
          </w:p>
          <w:p w14:paraId="021F6481" w14:textId="77777777" w:rsidR="00F14592" w:rsidRPr="00994B83" w:rsidRDefault="00F14592" w:rsidP="00F14592">
            <w:pPr>
              <w:spacing w:before="40" w:after="40" w:line="240" w:lineRule="auto"/>
              <w:ind w:left="0"/>
              <w:rPr>
                <w:sz w:val="20"/>
                <w:szCs w:val="20"/>
              </w:rPr>
            </w:pPr>
          </w:p>
        </w:tc>
        <w:tc>
          <w:tcPr>
            <w:tcW w:w="7938" w:type="dxa"/>
          </w:tcPr>
          <w:p w14:paraId="095F493C" w14:textId="77777777" w:rsidR="00F14592" w:rsidRPr="00994B83" w:rsidRDefault="00F14592" w:rsidP="00F14592">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994B83">
              <w:rPr>
                <w:sz w:val="20"/>
                <w:szCs w:val="20"/>
              </w:rPr>
              <w:t>Replacing floodplain storage lost through development by reducing nearby ground levels to provide more volume. Compensatory storage provided must equal or exceed the storage lost to reduce the chances of local or downstream flood risk increasing.</w:t>
            </w:r>
          </w:p>
        </w:tc>
      </w:tr>
      <w:tr w:rsidR="00F14592" w:rsidRPr="00994B83" w14:paraId="1A27B6DA"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58A5E50E" w14:textId="77777777" w:rsidR="00F14592" w:rsidRPr="00994B83" w:rsidRDefault="00F14592"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Flood Zone</w:t>
            </w:r>
          </w:p>
        </w:tc>
        <w:tc>
          <w:tcPr>
            <w:tcW w:w="7938" w:type="dxa"/>
          </w:tcPr>
          <w:p w14:paraId="6F5139EA" w14:textId="0E02F870" w:rsidR="00F14592" w:rsidRPr="00994B83" w:rsidRDefault="00F14592" w:rsidP="00F14592">
            <w:pPr>
              <w:spacing w:before="40" w:after="4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lang w:eastAsia="en-GB"/>
              </w:rPr>
            </w:pPr>
            <w:r w:rsidRPr="00994B83">
              <w:rPr>
                <w:rFonts w:ascii="Calibri" w:hAnsi="Calibri"/>
                <w:sz w:val="20"/>
                <w:szCs w:val="20"/>
                <w:lang w:eastAsia="en-GB"/>
              </w:rPr>
              <w:t>A geographic area with a defined flood risk and accompanying designated annual probability of flooding, primarily from river (‘fluvial’) flooding or sea (‘tidal’) flooding. Flood Zone definitions are set by the National Planning Policy Framework, Flood Risk and Coastal Change Planning Practice Guidance and Local Planning Authorities.</w:t>
            </w:r>
          </w:p>
        </w:tc>
      </w:tr>
      <w:tr w:rsidR="00F14592" w:rsidRPr="00994B83" w14:paraId="0AC0E4E0"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009E91F4" w14:textId="77777777" w:rsidR="00F14592" w:rsidRPr="00994B83" w:rsidRDefault="00F14592"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Flood Zone 1</w:t>
            </w:r>
          </w:p>
        </w:tc>
        <w:tc>
          <w:tcPr>
            <w:tcW w:w="7938" w:type="dxa"/>
          </w:tcPr>
          <w:p w14:paraId="5E51FF6D" w14:textId="421C1A7A" w:rsidR="00F14592" w:rsidRPr="00994B83" w:rsidRDefault="00EC07A9" w:rsidP="00EC07A9">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lang w:eastAsia="en-GB"/>
              </w:rPr>
            </w:pPr>
            <w:r>
              <w:rPr>
                <w:rFonts w:ascii="Calibri" w:hAnsi="Calibri"/>
                <w:sz w:val="20"/>
                <w:szCs w:val="20"/>
                <w:lang w:eastAsia="en-GB"/>
              </w:rPr>
              <w:t>D</w:t>
            </w:r>
            <w:r w:rsidR="00F14592" w:rsidRPr="00994B83">
              <w:rPr>
                <w:rFonts w:ascii="Calibri" w:hAnsi="Calibri"/>
                <w:sz w:val="20"/>
                <w:szCs w:val="20"/>
                <w:lang w:eastAsia="en-GB"/>
              </w:rPr>
              <w:t>efined</w:t>
            </w:r>
            <w:r>
              <w:rPr>
                <w:rFonts w:ascii="Calibri" w:hAnsi="Calibri"/>
                <w:sz w:val="20"/>
                <w:szCs w:val="20"/>
                <w:lang w:eastAsia="en-GB"/>
              </w:rPr>
              <w:t xml:space="preserve"> in the </w:t>
            </w:r>
            <w:hyperlink r:id="rId10" w:anchor="flood-zone-and-flood-risk-tables" w:history="1">
              <w:r w:rsidRPr="00EC07A9">
                <w:rPr>
                  <w:rStyle w:val="Hyperlink"/>
                  <w:rFonts w:ascii="Calibri" w:hAnsi="Calibri"/>
                  <w:sz w:val="20"/>
                  <w:szCs w:val="20"/>
                  <w:lang w:eastAsia="en-GB"/>
                </w:rPr>
                <w:t>Planning Practice Guidance</w:t>
              </w:r>
            </w:hyperlink>
            <w:r w:rsidR="00F14592" w:rsidRPr="00994B83">
              <w:rPr>
                <w:rFonts w:ascii="Calibri" w:hAnsi="Calibri"/>
                <w:sz w:val="20"/>
                <w:szCs w:val="20"/>
                <w:lang w:eastAsia="en-GB"/>
              </w:rPr>
              <w:t xml:space="preserve"> as </w:t>
            </w:r>
            <w:r>
              <w:rPr>
                <w:rFonts w:ascii="Calibri" w:hAnsi="Calibri"/>
                <w:sz w:val="20"/>
                <w:szCs w:val="20"/>
                <w:lang w:eastAsia="en-GB"/>
              </w:rPr>
              <w:t xml:space="preserve">land that has </w:t>
            </w:r>
            <w:r w:rsidR="00F14592" w:rsidRPr="00994B83">
              <w:rPr>
                <w:rFonts w:ascii="Calibri" w:hAnsi="Calibri"/>
                <w:sz w:val="20"/>
                <w:szCs w:val="20"/>
                <w:lang w:eastAsia="en-GB"/>
              </w:rPr>
              <w:t xml:space="preserve">a </w:t>
            </w:r>
            <w:r w:rsidR="003A246F" w:rsidRPr="00994B83">
              <w:rPr>
                <w:rFonts w:ascii="Calibri" w:hAnsi="Calibri"/>
                <w:sz w:val="20"/>
                <w:szCs w:val="20"/>
                <w:lang w:eastAsia="en-GB"/>
              </w:rPr>
              <w:t>‘</w:t>
            </w:r>
            <w:r w:rsidR="00F14592" w:rsidRPr="00994B83">
              <w:rPr>
                <w:rFonts w:ascii="Calibri" w:hAnsi="Calibri"/>
                <w:sz w:val="20"/>
                <w:szCs w:val="20"/>
                <w:lang w:eastAsia="en-GB"/>
              </w:rPr>
              <w:t>Low Probability</w:t>
            </w:r>
            <w:r w:rsidR="003A246F" w:rsidRPr="00994B83">
              <w:rPr>
                <w:rFonts w:ascii="Calibri" w:hAnsi="Calibri"/>
                <w:sz w:val="20"/>
                <w:szCs w:val="20"/>
                <w:lang w:eastAsia="en-GB"/>
              </w:rPr>
              <w:t>’</w:t>
            </w:r>
            <w:r w:rsidR="00F14592" w:rsidRPr="00994B83">
              <w:rPr>
                <w:rFonts w:ascii="Calibri" w:hAnsi="Calibri"/>
                <w:sz w:val="20"/>
                <w:szCs w:val="20"/>
                <w:lang w:eastAsia="en-GB"/>
              </w:rPr>
              <w:t xml:space="preserve"> of fluvial or tidal flooding. There is a less than 1 in 1,000 (&lt; 0.1%) annual probability of river or sea flooding. </w:t>
            </w:r>
          </w:p>
        </w:tc>
      </w:tr>
      <w:tr w:rsidR="00F14592" w:rsidRPr="00994B83" w14:paraId="761332F0"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25191003" w14:textId="77777777" w:rsidR="00F14592" w:rsidRPr="00994B83" w:rsidRDefault="00F14592"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Flood Zone 2</w:t>
            </w:r>
          </w:p>
        </w:tc>
        <w:tc>
          <w:tcPr>
            <w:tcW w:w="7938" w:type="dxa"/>
          </w:tcPr>
          <w:p w14:paraId="4D880421" w14:textId="06FB6D4B" w:rsidR="00F14592" w:rsidRPr="00994B83" w:rsidRDefault="00EC07A9" w:rsidP="00F14592">
            <w:pPr>
              <w:spacing w:before="40" w:after="4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lang w:eastAsia="en-GB"/>
              </w:rPr>
            </w:pPr>
            <w:r>
              <w:rPr>
                <w:rFonts w:ascii="Calibri" w:hAnsi="Calibri"/>
                <w:sz w:val="20"/>
                <w:szCs w:val="20"/>
                <w:lang w:eastAsia="en-GB"/>
              </w:rPr>
              <w:t>D</w:t>
            </w:r>
            <w:r w:rsidRPr="00994B83">
              <w:rPr>
                <w:rFonts w:ascii="Calibri" w:hAnsi="Calibri"/>
                <w:sz w:val="20"/>
                <w:szCs w:val="20"/>
                <w:lang w:eastAsia="en-GB"/>
              </w:rPr>
              <w:t>efined</w:t>
            </w:r>
            <w:r>
              <w:rPr>
                <w:rFonts w:ascii="Calibri" w:hAnsi="Calibri"/>
                <w:sz w:val="20"/>
                <w:szCs w:val="20"/>
                <w:lang w:eastAsia="en-GB"/>
              </w:rPr>
              <w:t xml:space="preserve"> in the </w:t>
            </w:r>
            <w:hyperlink r:id="rId11" w:anchor="flood-zone-and-flood-risk-tables" w:history="1">
              <w:r w:rsidRPr="00EC07A9">
                <w:rPr>
                  <w:rStyle w:val="Hyperlink"/>
                  <w:rFonts w:ascii="Calibri" w:hAnsi="Calibri"/>
                  <w:sz w:val="20"/>
                  <w:szCs w:val="20"/>
                  <w:lang w:eastAsia="en-GB"/>
                </w:rPr>
                <w:t>Planning Practice Guidance</w:t>
              </w:r>
            </w:hyperlink>
            <w:r w:rsidRPr="00994B83">
              <w:rPr>
                <w:rFonts w:ascii="Calibri" w:hAnsi="Calibri"/>
                <w:sz w:val="20"/>
                <w:szCs w:val="20"/>
                <w:lang w:eastAsia="en-GB"/>
              </w:rPr>
              <w:t xml:space="preserve"> as </w:t>
            </w:r>
            <w:r>
              <w:rPr>
                <w:rFonts w:ascii="Calibri" w:hAnsi="Calibri"/>
                <w:sz w:val="20"/>
                <w:szCs w:val="20"/>
                <w:lang w:eastAsia="en-GB"/>
              </w:rPr>
              <w:t>land that h</w:t>
            </w:r>
            <w:r w:rsidR="00F14592" w:rsidRPr="00994B83">
              <w:rPr>
                <w:rFonts w:ascii="Calibri" w:hAnsi="Calibri"/>
                <w:sz w:val="20"/>
                <w:szCs w:val="20"/>
                <w:lang w:eastAsia="en-GB"/>
              </w:rPr>
              <w:t>as</w:t>
            </w:r>
            <w:r>
              <w:rPr>
                <w:rFonts w:ascii="Calibri" w:hAnsi="Calibri"/>
                <w:sz w:val="20"/>
                <w:szCs w:val="20"/>
                <w:lang w:eastAsia="en-GB"/>
              </w:rPr>
              <w:t xml:space="preserve"> a</w:t>
            </w:r>
            <w:r w:rsidR="00F14592" w:rsidRPr="00994B83">
              <w:rPr>
                <w:rFonts w:ascii="Calibri" w:hAnsi="Calibri"/>
                <w:sz w:val="20"/>
                <w:szCs w:val="20"/>
                <w:lang w:eastAsia="en-GB"/>
              </w:rPr>
              <w:t xml:space="preserve"> </w:t>
            </w:r>
            <w:r w:rsidR="003A246F" w:rsidRPr="00994B83">
              <w:rPr>
                <w:rFonts w:ascii="Calibri" w:hAnsi="Calibri"/>
                <w:sz w:val="20"/>
                <w:szCs w:val="20"/>
                <w:lang w:eastAsia="en-GB"/>
              </w:rPr>
              <w:t>‘</w:t>
            </w:r>
            <w:r w:rsidR="00F14592" w:rsidRPr="00994B83">
              <w:rPr>
                <w:rFonts w:ascii="Calibri" w:hAnsi="Calibri"/>
                <w:sz w:val="20"/>
                <w:szCs w:val="20"/>
                <w:lang w:eastAsia="en-GB"/>
              </w:rPr>
              <w:t>Medium Probability</w:t>
            </w:r>
            <w:r w:rsidR="003A246F" w:rsidRPr="00994B83">
              <w:rPr>
                <w:rFonts w:ascii="Calibri" w:hAnsi="Calibri"/>
                <w:sz w:val="20"/>
                <w:szCs w:val="20"/>
                <w:lang w:eastAsia="en-GB"/>
              </w:rPr>
              <w:t>’</w:t>
            </w:r>
            <w:r w:rsidR="00F14592" w:rsidRPr="00994B83">
              <w:rPr>
                <w:rFonts w:ascii="Calibri" w:hAnsi="Calibri"/>
                <w:sz w:val="20"/>
                <w:szCs w:val="20"/>
                <w:lang w:eastAsia="en-GB"/>
              </w:rPr>
              <w:t xml:space="preserve"> of fluvial or tidal flooding. There is a 1 in 100 to 1 in 1,000 (1% to 0.1%) annual probability of river flooding, or a 1 in 200 to 1 in 1,000 (0.5% to 0.1%) annual probability of sea flooding. </w:t>
            </w:r>
          </w:p>
        </w:tc>
      </w:tr>
      <w:tr w:rsidR="00F14592" w:rsidRPr="00994B83" w14:paraId="02E6F79C"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59960FEE" w14:textId="77777777" w:rsidR="00F14592" w:rsidRPr="00994B83" w:rsidRDefault="00F14592"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lastRenderedPageBreak/>
              <w:t>Flood Zone 3</w:t>
            </w:r>
          </w:p>
        </w:tc>
        <w:tc>
          <w:tcPr>
            <w:tcW w:w="7938" w:type="dxa"/>
          </w:tcPr>
          <w:p w14:paraId="6CEE0948" w14:textId="6F662979" w:rsidR="00F14592" w:rsidRPr="00994B83" w:rsidRDefault="00EC07A9" w:rsidP="00EC07A9">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lang w:eastAsia="en-GB"/>
              </w:rPr>
            </w:pPr>
            <w:r>
              <w:rPr>
                <w:rFonts w:ascii="Calibri" w:hAnsi="Calibri"/>
                <w:sz w:val="20"/>
                <w:szCs w:val="20"/>
                <w:lang w:eastAsia="en-GB"/>
              </w:rPr>
              <w:t>D</w:t>
            </w:r>
            <w:r w:rsidRPr="00994B83">
              <w:rPr>
                <w:rFonts w:ascii="Calibri" w:hAnsi="Calibri"/>
                <w:sz w:val="20"/>
                <w:szCs w:val="20"/>
                <w:lang w:eastAsia="en-GB"/>
              </w:rPr>
              <w:t>efined</w:t>
            </w:r>
            <w:r>
              <w:rPr>
                <w:rFonts w:ascii="Calibri" w:hAnsi="Calibri"/>
                <w:sz w:val="20"/>
                <w:szCs w:val="20"/>
                <w:lang w:eastAsia="en-GB"/>
              </w:rPr>
              <w:t xml:space="preserve"> by the </w:t>
            </w:r>
            <w:hyperlink r:id="rId12" w:history="1">
              <w:r w:rsidRPr="00EC07A9">
                <w:rPr>
                  <w:rStyle w:val="Hyperlink"/>
                  <w:rFonts w:ascii="Calibri" w:hAnsi="Calibri"/>
                  <w:sz w:val="20"/>
                  <w:szCs w:val="20"/>
                  <w:lang w:eastAsia="en-GB"/>
                </w:rPr>
                <w:t>Environment Agency</w:t>
              </w:r>
            </w:hyperlink>
            <w:r w:rsidRPr="00994B83">
              <w:rPr>
                <w:rFonts w:ascii="Calibri" w:hAnsi="Calibri"/>
                <w:sz w:val="20"/>
                <w:szCs w:val="20"/>
                <w:lang w:eastAsia="en-GB"/>
              </w:rPr>
              <w:t xml:space="preserve"> as</w:t>
            </w:r>
            <w:r>
              <w:rPr>
                <w:rFonts w:ascii="Calibri" w:hAnsi="Calibri"/>
                <w:sz w:val="20"/>
                <w:szCs w:val="20"/>
                <w:lang w:eastAsia="en-GB"/>
              </w:rPr>
              <w:t xml:space="preserve"> land that has </w:t>
            </w:r>
            <w:r w:rsidR="00F14592" w:rsidRPr="00994B83">
              <w:rPr>
                <w:rFonts w:ascii="Calibri" w:hAnsi="Calibri"/>
                <w:sz w:val="20"/>
                <w:szCs w:val="20"/>
                <w:lang w:eastAsia="en-GB"/>
              </w:rPr>
              <w:t xml:space="preserve">a greater than 1 in 100 (&gt; 1%) annual probability of river flooding, or a greater than 1 in 200 (&gt; 0.5%) annual probability of sea flooding. </w:t>
            </w:r>
          </w:p>
        </w:tc>
      </w:tr>
      <w:tr w:rsidR="00F14592" w:rsidRPr="00994B83" w14:paraId="289202FB"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71B5D73D" w14:textId="77777777" w:rsidR="00F14592" w:rsidRPr="00994B83" w:rsidRDefault="00F14592"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Flood Zone 3a (fluvial / tidal)</w:t>
            </w:r>
          </w:p>
        </w:tc>
        <w:tc>
          <w:tcPr>
            <w:tcW w:w="7938" w:type="dxa"/>
          </w:tcPr>
          <w:p w14:paraId="163E8151" w14:textId="3677D54F" w:rsidR="00485A9A" w:rsidRDefault="00485A9A" w:rsidP="005812F3">
            <w:pPr>
              <w:spacing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lang w:eastAsia="en-GB"/>
              </w:rPr>
            </w:pPr>
            <w:r>
              <w:rPr>
                <w:rFonts w:ascii="Calibri" w:hAnsi="Calibri"/>
                <w:sz w:val="20"/>
                <w:szCs w:val="20"/>
                <w:lang w:eastAsia="en-GB"/>
              </w:rPr>
              <w:t>Defined as the following:</w:t>
            </w:r>
          </w:p>
          <w:p w14:paraId="3BFF7121" w14:textId="33245E17" w:rsidR="00485A9A" w:rsidRPr="00485A9A" w:rsidRDefault="00485A9A" w:rsidP="005812F3">
            <w:pPr>
              <w:pStyle w:val="ListParagraph"/>
              <w:numPr>
                <w:ilvl w:val="0"/>
                <w:numId w:val="59"/>
              </w:num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lang w:eastAsia="en-GB"/>
              </w:rPr>
            </w:pPr>
            <w:r w:rsidRPr="00485A9A">
              <w:rPr>
                <w:rFonts w:ascii="Calibri" w:hAnsi="Calibri"/>
                <w:sz w:val="20"/>
                <w:szCs w:val="20"/>
                <w:lang w:eastAsia="en-GB"/>
              </w:rPr>
              <w:t>Land within modelled fluvial flood risk extents predicted for up to</w:t>
            </w:r>
            <w:r>
              <w:rPr>
                <w:rFonts w:ascii="Calibri" w:hAnsi="Calibri"/>
                <w:sz w:val="20"/>
                <w:szCs w:val="20"/>
                <w:lang w:eastAsia="en-GB"/>
              </w:rPr>
              <w:t>,</w:t>
            </w:r>
            <w:r w:rsidRPr="00485A9A">
              <w:rPr>
                <w:rFonts w:ascii="Calibri" w:hAnsi="Calibri"/>
                <w:sz w:val="20"/>
                <w:szCs w:val="20"/>
                <w:lang w:eastAsia="en-GB"/>
              </w:rPr>
              <w:t xml:space="preserve"> and including</w:t>
            </w:r>
            <w:r>
              <w:rPr>
                <w:rFonts w:ascii="Calibri" w:hAnsi="Calibri"/>
                <w:sz w:val="20"/>
                <w:szCs w:val="20"/>
                <w:lang w:eastAsia="en-GB"/>
              </w:rPr>
              <w:t>,</w:t>
            </w:r>
            <w:r w:rsidRPr="00485A9A">
              <w:rPr>
                <w:rFonts w:ascii="Calibri" w:hAnsi="Calibri"/>
                <w:sz w:val="20"/>
                <w:szCs w:val="20"/>
                <w:lang w:eastAsia="en-GB"/>
              </w:rPr>
              <w:t xml:space="preserve"> 1 in </w:t>
            </w:r>
            <w:proofErr w:type="gramStart"/>
            <w:r w:rsidRPr="00485A9A">
              <w:rPr>
                <w:rFonts w:ascii="Calibri" w:hAnsi="Calibri"/>
                <w:sz w:val="20"/>
                <w:szCs w:val="20"/>
                <w:lang w:eastAsia="en-GB"/>
              </w:rPr>
              <w:t>100 year</w:t>
            </w:r>
            <w:proofErr w:type="gramEnd"/>
            <w:r w:rsidRPr="00485A9A">
              <w:rPr>
                <w:rFonts w:ascii="Calibri" w:hAnsi="Calibri"/>
                <w:sz w:val="20"/>
                <w:szCs w:val="20"/>
                <w:lang w:eastAsia="en-GB"/>
              </w:rPr>
              <w:t xml:space="preserve"> return period events</w:t>
            </w:r>
          </w:p>
          <w:p w14:paraId="2E3F167C" w14:textId="7692DF19" w:rsidR="00485A9A" w:rsidRDefault="005812F3" w:rsidP="005812F3">
            <w:pPr>
              <w:pStyle w:val="ListParagraph"/>
              <w:numPr>
                <w:ilvl w:val="0"/>
                <w:numId w:val="59"/>
              </w:numPr>
              <w:spacing w:after="0"/>
              <w:cnfStyle w:val="000000100000" w:firstRow="0" w:lastRow="0" w:firstColumn="0" w:lastColumn="0" w:oddVBand="0" w:evenVBand="0" w:oddHBand="1" w:evenHBand="0" w:firstRowFirstColumn="0" w:firstRowLastColumn="0" w:lastRowFirstColumn="0" w:lastRowLastColumn="0"/>
              <w:rPr>
                <w:rFonts w:ascii="Calibri" w:hAnsi="Calibri"/>
                <w:sz w:val="20"/>
                <w:szCs w:val="20"/>
                <w:lang w:eastAsia="en-GB"/>
              </w:rPr>
            </w:pPr>
            <w:r w:rsidRPr="005812F3">
              <w:rPr>
                <w:rFonts w:ascii="Calibri" w:hAnsi="Calibri"/>
                <w:sz w:val="20"/>
                <w:szCs w:val="20"/>
                <w:lang w:eastAsia="en-GB"/>
              </w:rPr>
              <w:t xml:space="preserve">Land within modelled tidal flood risk extents predicted for up to and including 1 in </w:t>
            </w:r>
            <w:proofErr w:type="gramStart"/>
            <w:r w:rsidRPr="005812F3">
              <w:rPr>
                <w:rFonts w:ascii="Calibri" w:hAnsi="Calibri"/>
                <w:sz w:val="20"/>
                <w:szCs w:val="20"/>
                <w:lang w:eastAsia="en-GB"/>
              </w:rPr>
              <w:t>200 year</w:t>
            </w:r>
            <w:proofErr w:type="gramEnd"/>
            <w:r w:rsidRPr="005812F3">
              <w:rPr>
                <w:rFonts w:ascii="Calibri" w:hAnsi="Calibri"/>
                <w:sz w:val="20"/>
                <w:szCs w:val="20"/>
                <w:lang w:eastAsia="en-GB"/>
              </w:rPr>
              <w:t xml:space="preserve"> return period events</w:t>
            </w:r>
          </w:p>
          <w:p w14:paraId="680F2882" w14:textId="7956F018" w:rsidR="00F14592" w:rsidRPr="00994B83" w:rsidRDefault="005812F3" w:rsidP="00F14592">
            <w:pPr>
              <w:spacing w:before="40" w:after="4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lang w:eastAsia="en-GB"/>
              </w:rPr>
            </w:pPr>
            <w:r>
              <w:rPr>
                <w:rFonts w:ascii="Calibri" w:hAnsi="Calibri"/>
                <w:sz w:val="20"/>
                <w:szCs w:val="20"/>
                <w:lang w:eastAsia="en-GB"/>
              </w:rPr>
              <w:t xml:space="preserve">Refer to </w:t>
            </w:r>
            <w:r w:rsidRPr="002512F6">
              <w:rPr>
                <w:rFonts w:ascii="Calibri" w:hAnsi="Calibri"/>
                <w:i/>
                <w:sz w:val="20"/>
                <w:szCs w:val="20"/>
                <w:u w:val="single"/>
                <w:lang w:eastAsia="en-GB"/>
              </w:rPr>
              <w:t>Section 3.11</w:t>
            </w:r>
            <w:r>
              <w:rPr>
                <w:rFonts w:ascii="Calibri" w:hAnsi="Calibri"/>
                <w:sz w:val="20"/>
                <w:szCs w:val="20"/>
                <w:lang w:eastAsia="en-GB"/>
              </w:rPr>
              <w:t xml:space="preserve"> for full information.</w:t>
            </w:r>
          </w:p>
        </w:tc>
      </w:tr>
      <w:tr w:rsidR="00F14592" w:rsidRPr="00994B83" w14:paraId="1B955B89"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0489256A" w14:textId="77777777" w:rsidR="00F14592" w:rsidRPr="00994B83" w:rsidRDefault="00F14592"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Flood Zone 3a (surface water)</w:t>
            </w:r>
          </w:p>
        </w:tc>
        <w:tc>
          <w:tcPr>
            <w:tcW w:w="7938" w:type="dxa"/>
          </w:tcPr>
          <w:p w14:paraId="112642F9" w14:textId="0D1DA302" w:rsidR="005812F3" w:rsidRDefault="005812F3" w:rsidP="00F14592">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lang w:eastAsia="en-GB"/>
              </w:rPr>
            </w:pPr>
            <w:r>
              <w:rPr>
                <w:rFonts w:ascii="Calibri" w:hAnsi="Calibri"/>
                <w:sz w:val="20"/>
                <w:szCs w:val="20"/>
                <w:lang w:eastAsia="en-GB"/>
              </w:rPr>
              <w:t xml:space="preserve">Refer to </w:t>
            </w:r>
            <w:r w:rsidRPr="002512F6">
              <w:rPr>
                <w:rFonts w:ascii="Calibri" w:hAnsi="Calibri"/>
                <w:i/>
                <w:sz w:val="20"/>
                <w:szCs w:val="20"/>
                <w:u w:val="single"/>
                <w:lang w:eastAsia="en-GB"/>
              </w:rPr>
              <w:t>Section 3.11</w:t>
            </w:r>
            <w:r>
              <w:rPr>
                <w:rFonts w:ascii="Calibri" w:hAnsi="Calibri"/>
                <w:sz w:val="20"/>
                <w:szCs w:val="20"/>
                <w:lang w:eastAsia="en-GB"/>
              </w:rPr>
              <w:t xml:space="preserve"> for full information.</w:t>
            </w:r>
          </w:p>
          <w:p w14:paraId="1C6CF8E6" w14:textId="51619BCE" w:rsidR="00F14592" w:rsidRPr="00994B83" w:rsidRDefault="00F14592" w:rsidP="00F14592">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lang w:eastAsia="en-GB"/>
              </w:rPr>
            </w:pPr>
          </w:p>
        </w:tc>
      </w:tr>
      <w:tr w:rsidR="00F14592" w:rsidRPr="00994B83" w14:paraId="52883D0F"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4BE5514A" w14:textId="77777777" w:rsidR="00F14592" w:rsidRPr="00994B83" w:rsidRDefault="00F14592"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Flood Zone 3b (fluvial / tidal)</w:t>
            </w:r>
          </w:p>
        </w:tc>
        <w:tc>
          <w:tcPr>
            <w:tcW w:w="7938" w:type="dxa"/>
          </w:tcPr>
          <w:p w14:paraId="376C5867" w14:textId="10BDE7F9" w:rsidR="00F14592" w:rsidRPr="00994B83" w:rsidRDefault="00225F34" w:rsidP="00E06165">
            <w:pPr>
              <w:spacing w:before="40" w:after="4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lang w:eastAsia="en-GB"/>
              </w:rPr>
            </w:pPr>
            <w:r>
              <w:rPr>
                <w:rFonts w:ascii="Calibri" w:hAnsi="Calibri"/>
                <w:sz w:val="20"/>
                <w:szCs w:val="20"/>
                <w:lang w:eastAsia="en-GB"/>
              </w:rPr>
              <w:t xml:space="preserve">Refer to </w:t>
            </w:r>
            <w:r w:rsidRPr="002512F6">
              <w:rPr>
                <w:rFonts w:ascii="Calibri" w:hAnsi="Calibri"/>
                <w:i/>
                <w:sz w:val="20"/>
                <w:szCs w:val="20"/>
                <w:u w:val="single"/>
                <w:lang w:eastAsia="en-GB"/>
              </w:rPr>
              <w:t>Section 3.11</w:t>
            </w:r>
            <w:r>
              <w:rPr>
                <w:rFonts w:ascii="Calibri" w:hAnsi="Calibri"/>
                <w:sz w:val="20"/>
                <w:szCs w:val="20"/>
                <w:lang w:eastAsia="en-GB"/>
              </w:rPr>
              <w:t xml:space="preserve"> for </w:t>
            </w:r>
            <w:r w:rsidR="00E06165">
              <w:rPr>
                <w:rFonts w:ascii="Calibri" w:hAnsi="Calibri"/>
                <w:sz w:val="20"/>
                <w:szCs w:val="20"/>
                <w:lang w:eastAsia="en-GB"/>
              </w:rPr>
              <w:t>full information.</w:t>
            </w:r>
          </w:p>
        </w:tc>
      </w:tr>
      <w:tr w:rsidR="00F14592" w:rsidRPr="00994B83" w14:paraId="02E6FF0C"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59E406EA" w14:textId="77777777" w:rsidR="00F14592" w:rsidRPr="00994B83" w:rsidRDefault="00F14592" w:rsidP="00F14592">
            <w:pPr>
              <w:spacing w:before="40" w:after="40" w:line="240" w:lineRule="auto"/>
              <w:ind w:left="0"/>
              <w:jc w:val="center"/>
              <w:rPr>
                <w:rFonts w:ascii="Calibri" w:hAnsi="Calibri"/>
                <w:sz w:val="20"/>
                <w:szCs w:val="20"/>
                <w:lang w:eastAsia="en-GB"/>
              </w:rPr>
            </w:pPr>
            <w:r w:rsidRPr="00994B83">
              <w:rPr>
                <w:sz w:val="20"/>
                <w:szCs w:val="20"/>
              </w:rPr>
              <w:t>Floodplain</w:t>
            </w:r>
          </w:p>
        </w:tc>
        <w:tc>
          <w:tcPr>
            <w:tcW w:w="7938" w:type="dxa"/>
          </w:tcPr>
          <w:p w14:paraId="1BEA3459" w14:textId="49BB8080" w:rsidR="00F14592" w:rsidRPr="00994B83" w:rsidRDefault="00F14592" w:rsidP="00F14592">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lang w:eastAsia="en-GB"/>
              </w:rPr>
            </w:pPr>
            <w:r w:rsidRPr="00994B83">
              <w:rPr>
                <w:sz w:val="20"/>
                <w:szCs w:val="20"/>
              </w:rPr>
              <w:t xml:space="preserve">An area of land which experiences flooding when flood </w:t>
            </w:r>
            <w:r w:rsidR="007C342C">
              <w:rPr>
                <w:sz w:val="20"/>
                <w:szCs w:val="20"/>
              </w:rPr>
              <w:t>management infrastructure</w:t>
            </w:r>
            <w:r w:rsidR="007C342C" w:rsidRPr="00994B83">
              <w:rPr>
                <w:sz w:val="20"/>
                <w:szCs w:val="20"/>
              </w:rPr>
              <w:t xml:space="preserve"> </w:t>
            </w:r>
            <w:r w:rsidRPr="00994B83">
              <w:rPr>
                <w:sz w:val="20"/>
                <w:szCs w:val="20"/>
              </w:rPr>
              <w:t>exceed</w:t>
            </w:r>
            <w:r w:rsidR="007C342C">
              <w:rPr>
                <w:sz w:val="20"/>
                <w:szCs w:val="20"/>
              </w:rPr>
              <w:t>s</w:t>
            </w:r>
            <w:r w:rsidRPr="00994B83">
              <w:rPr>
                <w:sz w:val="20"/>
                <w:szCs w:val="20"/>
              </w:rPr>
              <w:t xml:space="preserve"> capacity. In these times, water either flows over this area of land or is stored on them.</w:t>
            </w:r>
          </w:p>
        </w:tc>
      </w:tr>
      <w:tr w:rsidR="00F14592" w:rsidRPr="00994B83" w14:paraId="7AA6BE47"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72D31220" w14:textId="77777777" w:rsidR="00F14592" w:rsidRPr="00994B83" w:rsidRDefault="00F14592" w:rsidP="00F14592">
            <w:pPr>
              <w:spacing w:before="40" w:after="40" w:line="240" w:lineRule="auto"/>
              <w:ind w:left="0"/>
              <w:jc w:val="center"/>
              <w:rPr>
                <w:rFonts w:ascii="Calibri" w:hAnsi="Calibri"/>
                <w:sz w:val="20"/>
                <w:szCs w:val="20"/>
                <w:lang w:eastAsia="en-GB"/>
              </w:rPr>
            </w:pPr>
            <w:r w:rsidRPr="00994B83">
              <w:rPr>
                <w:rFonts w:ascii="Calibri" w:hAnsi="Calibri"/>
                <w:sz w:val="20"/>
                <w:szCs w:val="20"/>
                <w:lang w:eastAsia="en-GB"/>
              </w:rPr>
              <w:t>Greenfield Runoff Rate</w:t>
            </w:r>
          </w:p>
        </w:tc>
        <w:tc>
          <w:tcPr>
            <w:tcW w:w="7938" w:type="dxa"/>
          </w:tcPr>
          <w:p w14:paraId="266B3A42" w14:textId="77777777" w:rsidR="00F14592" w:rsidRPr="00994B83" w:rsidRDefault="00F14592" w:rsidP="00F14592">
            <w:pPr>
              <w:spacing w:before="40" w:after="4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lang w:eastAsia="en-GB"/>
              </w:rPr>
            </w:pPr>
            <w:r w:rsidRPr="00994B83">
              <w:rPr>
                <w:rFonts w:ascii="Calibri" w:hAnsi="Calibri"/>
                <w:sz w:val="20"/>
                <w:szCs w:val="20"/>
                <w:lang w:eastAsia="en-GB"/>
              </w:rPr>
              <w:t>The rate at which rainfall runs off from an undeveloped, naturally permeable site.</w:t>
            </w:r>
          </w:p>
        </w:tc>
      </w:tr>
      <w:tr w:rsidR="00191618" w:rsidRPr="00994B83" w14:paraId="687B0739"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1B491BF7" w14:textId="54FCBA0E" w:rsidR="00191618" w:rsidRPr="00994B83" w:rsidRDefault="00191618" w:rsidP="00F14592">
            <w:pPr>
              <w:spacing w:before="40" w:after="40" w:line="240" w:lineRule="auto"/>
              <w:ind w:left="0"/>
              <w:jc w:val="center"/>
              <w:rPr>
                <w:rFonts w:ascii="Calibri" w:hAnsi="Calibri"/>
                <w:sz w:val="20"/>
                <w:szCs w:val="20"/>
                <w:lang w:eastAsia="en-GB"/>
              </w:rPr>
            </w:pPr>
            <w:r>
              <w:rPr>
                <w:rFonts w:ascii="Calibri" w:hAnsi="Calibri"/>
                <w:sz w:val="20"/>
                <w:szCs w:val="20"/>
                <w:lang w:eastAsia="en-GB"/>
              </w:rPr>
              <w:t>Local Lead Flood Authority</w:t>
            </w:r>
          </w:p>
        </w:tc>
        <w:tc>
          <w:tcPr>
            <w:tcW w:w="7938" w:type="dxa"/>
          </w:tcPr>
          <w:p w14:paraId="57CAC2E1" w14:textId="2C4CA27C" w:rsidR="00BB112D" w:rsidRDefault="00BB112D" w:rsidP="00F14592">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lang w:eastAsia="en-GB"/>
              </w:rPr>
            </w:pPr>
            <w:r>
              <w:rPr>
                <w:rFonts w:ascii="Calibri" w:hAnsi="Calibri"/>
                <w:sz w:val="20"/>
                <w:szCs w:val="20"/>
                <w:lang w:eastAsia="en-GB"/>
              </w:rPr>
              <w:t xml:space="preserve">As defined in the </w:t>
            </w:r>
            <w:hyperlink r:id="rId13" w:history="1">
              <w:r w:rsidRPr="00BB112D">
                <w:rPr>
                  <w:rStyle w:val="Hyperlink"/>
                  <w:rFonts w:ascii="Calibri" w:hAnsi="Calibri"/>
                  <w:sz w:val="20"/>
                  <w:szCs w:val="20"/>
                  <w:lang w:eastAsia="en-GB"/>
                </w:rPr>
                <w:t>Flood and Water Management Act (2010)</w:t>
              </w:r>
            </w:hyperlink>
            <w:r>
              <w:rPr>
                <w:rFonts w:ascii="Calibri" w:hAnsi="Calibri"/>
                <w:sz w:val="20"/>
                <w:szCs w:val="20"/>
                <w:lang w:eastAsia="en-GB"/>
              </w:rPr>
              <w:t xml:space="preserve"> as the unitary authority (or county council if there is no unitary authority) that leads in managing local flood risks.</w:t>
            </w:r>
          </w:p>
          <w:p w14:paraId="5EC28BD3" w14:textId="45E2A3C7" w:rsidR="00BB112D" w:rsidRPr="00994B83" w:rsidRDefault="00BB112D" w:rsidP="00BB112D">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lang w:eastAsia="en-GB"/>
              </w:rPr>
            </w:pPr>
            <w:r>
              <w:rPr>
                <w:rFonts w:ascii="Calibri" w:hAnsi="Calibri"/>
                <w:sz w:val="20"/>
                <w:szCs w:val="20"/>
                <w:lang w:eastAsia="en-GB"/>
              </w:rPr>
              <w:t xml:space="preserve">For further information, see </w:t>
            </w:r>
            <w:r w:rsidRPr="00BB112D">
              <w:rPr>
                <w:rFonts w:ascii="Calibri" w:hAnsi="Calibri"/>
                <w:sz w:val="20"/>
                <w:szCs w:val="20"/>
                <w:u w:val="single"/>
                <w:lang w:eastAsia="en-GB"/>
              </w:rPr>
              <w:t>Table 3-1</w:t>
            </w:r>
            <w:r>
              <w:rPr>
                <w:rFonts w:ascii="Calibri" w:hAnsi="Calibri"/>
                <w:sz w:val="20"/>
                <w:szCs w:val="20"/>
                <w:lang w:eastAsia="en-GB"/>
              </w:rPr>
              <w:t xml:space="preserve"> which contains highlights </w:t>
            </w:r>
            <w:r>
              <w:rPr>
                <w:sz w:val="20"/>
                <w:szCs w:val="20"/>
              </w:rPr>
              <w:t>Risk Management Authorities and their responsibilities.</w:t>
            </w:r>
          </w:p>
        </w:tc>
      </w:tr>
      <w:tr w:rsidR="00F14592" w:rsidRPr="00994B83" w14:paraId="1F4C433D"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69DEB4DC" w14:textId="58309DEA" w:rsidR="00F14592" w:rsidRPr="00994B83" w:rsidRDefault="00F14592" w:rsidP="00F14592">
            <w:pPr>
              <w:spacing w:before="40" w:after="40" w:line="240" w:lineRule="auto"/>
              <w:ind w:left="0"/>
              <w:jc w:val="center"/>
              <w:rPr>
                <w:sz w:val="20"/>
                <w:szCs w:val="20"/>
              </w:rPr>
            </w:pPr>
            <w:r w:rsidRPr="00994B83">
              <w:rPr>
                <w:sz w:val="20"/>
                <w:szCs w:val="20"/>
              </w:rPr>
              <w:t>Main River</w:t>
            </w:r>
          </w:p>
        </w:tc>
        <w:tc>
          <w:tcPr>
            <w:tcW w:w="7938" w:type="dxa"/>
          </w:tcPr>
          <w:p w14:paraId="1FCD3A8F" w14:textId="41DFBEF0" w:rsidR="00F14592" w:rsidRPr="00994B83" w:rsidRDefault="00F14592" w:rsidP="00F14592">
            <w:pPr>
              <w:spacing w:before="40" w:after="40" w:line="24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994B83">
              <w:rPr>
                <w:sz w:val="20"/>
                <w:szCs w:val="20"/>
              </w:rPr>
              <w:t xml:space="preserve">A statutory type of watercourse designated as such by the </w:t>
            </w:r>
            <w:hyperlink r:id="rId14" w:history="1">
              <w:r w:rsidRPr="00FC478A">
                <w:rPr>
                  <w:rStyle w:val="Hyperlink"/>
                  <w:sz w:val="20"/>
                  <w:szCs w:val="20"/>
                </w:rPr>
                <w:t>Environment Agency</w:t>
              </w:r>
            </w:hyperlink>
            <w:r w:rsidRPr="00994B83">
              <w:rPr>
                <w:sz w:val="20"/>
                <w:szCs w:val="20"/>
              </w:rPr>
              <w:t xml:space="preserve"> in England and Wales. These watercourses tend to be larger rivers and streams but are not exclusively so. The Environment Agency has powers to carry out maintenance and operational works on these watercourses, including flood defence works.</w:t>
            </w:r>
          </w:p>
        </w:tc>
      </w:tr>
      <w:tr w:rsidR="00F14592" w:rsidRPr="00994B83" w14:paraId="1A0AC22D"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4BBC32FB" w14:textId="77777777" w:rsidR="00F14592" w:rsidRPr="00994B83" w:rsidRDefault="00F14592" w:rsidP="00F14592">
            <w:pPr>
              <w:spacing w:before="40" w:after="40" w:line="240" w:lineRule="auto"/>
              <w:ind w:left="0"/>
              <w:jc w:val="center"/>
              <w:rPr>
                <w:sz w:val="20"/>
                <w:szCs w:val="20"/>
              </w:rPr>
            </w:pPr>
            <w:r w:rsidRPr="00994B83">
              <w:rPr>
                <w:sz w:val="20"/>
                <w:szCs w:val="20"/>
              </w:rPr>
              <w:t>Major Development</w:t>
            </w:r>
          </w:p>
        </w:tc>
        <w:tc>
          <w:tcPr>
            <w:tcW w:w="7938" w:type="dxa"/>
          </w:tcPr>
          <w:p w14:paraId="0DFCAD64" w14:textId="2D381C15" w:rsidR="00F14592" w:rsidRPr="00994B83" w:rsidRDefault="00F14592" w:rsidP="00F14592">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sz w:val="20"/>
                <w:szCs w:val="20"/>
              </w:rPr>
            </w:pPr>
            <w:bookmarkStart w:id="3" w:name="_Hlk510693245"/>
            <w:r w:rsidRPr="00994B83">
              <w:rPr>
                <w:sz w:val="20"/>
                <w:szCs w:val="20"/>
              </w:rPr>
              <w:t xml:space="preserve">Defined </w:t>
            </w:r>
            <w:r w:rsidR="00C51066">
              <w:rPr>
                <w:sz w:val="20"/>
                <w:szCs w:val="20"/>
              </w:rPr>
              <w:t xml:space="preserve">in the </w:t>
            </w:r>
            <w:hyperlink r:id="rId15" w:history="1">
              <w:r w:rsidR="00C51066" w:rsidRPr="00C51066">
                <w:rPr>
                  <w:rStyle w:val="Hyperlink"/>
                  <w:sz w:val="20"/>
                  <w:szCs w:val="20"/>
                </w:rPr>
                <w:t>Town &amp; Country Planning (Development Management Procedure) Order 2015</w:t>
              </w:r>
            </w:hyperlink>
            <w:bookmarkEnd w:id="3"/>
            <w:r w:rsidR="00191618">
              <w:rPr>
                <w:sz w:val="20"/>
                <w:szCs w:val="20"/>
              </w:rPr>
              <w:t xml:space="preserve"> </w:t>
            </w:r>
            <w:r w:rsidR="00191618" w:rsidRPr="00994B83">
              <w:rPr>
                <w:sz w:val="20"/>
                <w:szCs w:val="20"/>
              </w:rPr>
              <w:t>as one of the following</w:t>
            </w:r>
            <w:r w:rsidRPr="00994B83">
              <w:rPr>
                <w:sz w:val="20"/>
                <w:szCs w:val="20"/>
              </w:rPr>
              <w:t>:</w:t>
            </w:r>
          </w:p>
          <w:p w14:paraId="31947F84" w14:textId="2D7E9741" w:rsidR="00F14592" w:rsidRPr="00994B83" w:rsidRDefault="00F14592" w:rsidP="00AD4773">
            <w:pPr>
              <w:pStyle w:val="ListParagraph"/>
              <w:numPr>
                <w:ilvl w:val="0"/>
                <w:numId w:val="19"/>
              </w:num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94B83">
              <w:rPr>
                <w:sz w:val="20"/>
                <w:szCs w:val="20"/>
              </w:rPr>
              <w:t>For residential developments, the provision of 10 or more dwellings, or</w:t>
            </w:r>
            <w:r w:rsidR="008743C1">
              <w:rPr>
                <w:sz w:val="20"/>
                <w:szCs w:val="20"/>
              </w:rPr>
              <w:t xml:space="preserve"> a site of 0.5 hectares or more.</w:t>
            </w:r>
          </w:p>
          <w:p w14:paraId="555BF905" w14:textId="21DC31FD" w:rsidR="00F14592" w:rsidRDefault="00F14592" w:rsidP="00AD4773">
            <w:pPr>
              <w:pStyle w:val="ListParagraph"/>
              <w:numPr>
                <w:ilvl w:val="0"/>
                <w:numId w:val="19"/>
              </w:num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94B83">
              <w:rPr>
                <w:sz w:val="20"/>
                <w:szCs w:val="20"/>
              </w:rPr>
              <w:t>For non-residential development, new floorspace of 1,000 square metres or more,</w:t>
            </w:r>
            <w:r w:rsidR="008743C1">
              <w:rPr>
                <w:sz w:val="20"/>
                <w:szCs w:val="20"/>
              </w:rPr>
              <w:t xml:space="preserve"> or a site of 1 hectare or more.</w:t>
            </w:r>
          </w:p>
          <w:p w14:paraId="285383A2" w14:textId="392BF7FA" w:rsidR="008743C1" w:rsidRDefault="008743C1" w:rsidP="00AD4773">
            <w:pPr>
              <w:pStyle w:val="ListParagraph"/>
              <w:numPr>
                <w:ilvl w:val="0"/>
                <w:numId w:val="19"/>
              </w:num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Developments that use land for mineral-working deposits, or the winning and working of minerals.</w:t>
            </w:r>
          </w:p>
          <w:p w14:paraId="28ECA88C" w14:textId="66D5019E" w:rsidR="008743C1" w:rsidRPr="00994B83" w:rsidRDefault="008743C1" w:rsidP="00AD4773">
            <w:pPr>
              <w:pStyle w:val="ListParagraph"/>
              <w:numPr>
                <w:ilvl w:val="0"/>
                <w:numId w:val="19"/>
              </w:numPr>
              <w:spacing w:before="40" w:after="4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waste development.</w:t>
            </w:r>
          </w:p>
        </w:tc>
      </w:tr>
      <w:tr w:rsidR="00F14592" w:rsidRPr="00994B83" w14:paraId="010E22D5"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29C7FE7B" w14:textId="77777777" w:rsidR="00F14592" w:rsidRPr="00EC6E69" w:rsidRDefault="00F14592" w:rsidP="00F14592">
            <w:pPr>
              <w:spacing w:before="40" w:after="40" w:line="240" w:lineRule="auto"/>
              <w:ind w:left="0"/>
              <w:jc w:val="center"/>
              <w:rPr>
                <w:sz w:val="20"/>
                <w:szCs w:val="20"/>
              </w:rPr>
            </w:pPr>
            <w:r w:rsidRPr="00EC6E69">
              <w:rPr>
                <w:sz w:val="20"/>
                <w:szCs w:val="20"/>
              </w:rPr>
              <w:t>Minor Development</w:t>
            </w:r>
          </w:p>
        </w:tc>
        <w:tc>
          <w:tcPr>
            <w:tcW w:w="7938" w:type="dxa"/>
          </w:tcPr>
          <w:p w14:paraId="037FBC20" w14:textId="7D9B840C" w:rsidR="006A397D" w:rsidRPr="00EC6E69" w:rsidRDefault="006A397D" w:rsidP="006A397D">
            <w:pPr>
              <w:spacing w:before="40" w:after="40" w:line="240" w:lineRule="auto"/>
              <w:ind w:left="0"/>
              <w:jc w:val="left"/>
              <w:cnfStyle w:val="000000100000" w:firstRow="0" w:lastRow="0" w:firstColumn="0" w:lastColumn="0" w:oddVBand="0" w:evenVBand="0" w:oddHBand="1" w:evenHBand="0" w:firstRowFirstColumn="0" w:firstRowLastColumn="0" w:lastRowFirstColumn="0" w:lastRowLastColumn="0"/>
              <w:rPr>
                <w:sz w:val="20"/>
                <w:szCs w:val="20"/>
              </w:rPr>
            </w:pPr>
            <w:r w:rsidRPr="00EC6E69">
              <w:rPr>
                <w:sz w:val="20"/>
                <w:szCs w:val="20"/>
              </w:rPr>
              <w:t>For the purposes of the planning applications and development requirements in this SFRA, Minor developments within the flood risk management context are developments which are not classified as Major and:</w:t>
            </w:r>
          </w:p>
          <w:p w14:paraId="5660CAF3" w14:textId="0BE0320A" w:rsidR="006A397D" w:rsidRPr="00EC6E69" w:rsidRDefault="00EC6E69" w:rsidP="006A397D">
            <w:pPr>
              <w:pStyle w:val="ListParagraph"/>
              <w:numPr>
                <w:ilvl w:val="0"/>
                <w:numId w:val="79"/>
              </w:numPr>
              <w:spacing w:before="40" w:after="4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EC6E69">
              <w:rPr>
                <w:sz w:val="20"/>
                <w:szCs w:val="20"/>
              </w:rPr>
              <w:t>I</w:t>
            </w:r>
            <w:r w:rsidR="006A397D" w:rsidRPr="00EC6E69">
              <w:rPr>
                <w:sz w:val="20"/>
                <w:szCs w:val="20"/>
              </w:rPr>
              <w:t xml:space="preserve">mpact the flood plain and / or </w:t>
            </w:r>
          </w:p>
          <w:p w14:paraId="5A56B660" w14:textId="3018F437" w:rsidR="006A397D" w:rsidRPr="00EC6E69" w:rsidRDefault="00EC6E69" w:rsidP="006A397D">
            <w:pPr>
              <w:pStyle w:val="ListParagraph"/>
              <w:numPr>
                <w:ilvl w:val="0"/>
                <w:numId w:val="79"/>
              </w:numPr>
              <w:spacing w:before="40" w:after="4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EC6E69">
              <w:rPr>
                <w:sz w:val="20"/>
                <w:szCs w:val="20"/>
              </w:rPr>
              <w:t>I</w:t>
            </w:r>
            <w:r w:rsidR="006A397D" w:rsidRPr="00EC6E69">
              <w:rPr>
                <w:sz w:val="20"/>
                <w:szCs w:val="20"/>
              </w:rPr>
              <w:t>mpact the footprint of the building(s) and / or</w:t>
            </w:r>
          </w:p>
          <w:p w14:paraId="4AC4F595" w14:textId="4F9F1197" w:rsidR="00FE27E3" w:rsidRPr="00EC6E69" w:rsidRDefault="00EC6E69" w:rsidP="006A397D">
            <w:pPr>
              <w:pStyle w:val="ListParagraph"/>
              <w:numPr>
                <w:ilvl w:val="0"/>
                <w:numId w:val="79"/>
              </w:numPr>
              <w:spacing w:before="40" w:after="40"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EC6E69">
              <w:rPr>
                <w:sz w:val="20"/>
                <w:szCs w:val="20"/>
              </w:rPr>
              <w:t>D</w:t>
            </w:r>
            <w:r w:rsidR="006A397D" w:rsidRPr="00EC6E69">
              <w:rPr>
                <w:sz w:val="20"/>
                <w:szCs w:val="20"/>
              </w:rPr>
              <w:t>evelopment within the curtilage of an existing dwelling</w:t>
            </w:r>
          </w:p>
        </w:tc>
      </w:tr>
      <w:tr w:rsidR="00F14592" w:rsidRPr="00994B83" w14:paraId="30433119"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165B06B8" w14:textId="77777777" w:rsidR="00F14592" w:rsidRPr="00994B83" w:rsidRDefault="00F14592" w:rsidP="00F14592">
            <w:pPr>
              <w:spacing w:before="40" w:after="40" w:line="240" w:lineRule="auto"/>
              <w:ind w:left="0"/>
              <w:jc w:val="center"/>
              <w:rPr>
                <w:sz w:val="20"/>
                <w:szCs w:val="20"/>
              </w:rPr>
            </w:pPr>
            <w:r w:rsidRPr="00994B83">
              <w:rPr>
                <w:sz w:val="20"/>
                <w:szCs w:val="20"/>
              </w:rPr>
              <w:t>Ordinary Watercourses</w:t>
            </w:r>
          </w:p>
        </w:tc>
        <w:tc>
          <w:tcPr>
            <w:tcW w:w="7938" w:type="dxa"/>
          </w:tcPr>
          <w:p w14:paraId="3D1D834F" w14:textId="070C15A5" w:rsidR="00F14592" w:rsidRPr="00994B83" w:rsidRDefault="00F14592" w:rsidP="00F14592">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994B83">
              <w:rPr>
                <w:sz w:val="20"/>
                <w:szCs w:val="20"/>
              </w:rPr>
              <w:t xml:space="preserve">A watercourse that is not designated as a </w:t>
            </w:r>
            <w:r w:rsidR="003665CD">
              <w:rPr>
                <w:sz w:val="20"/>
                <w:szCs w:val="20"/>
              </w:rPr>
              <w:t>M</w:t>
            </w:r>
            <w:r w:rsidRPr="00994B83">
              <w:rPr>
                <w:sz w:val="20"/>
                <w:szCs w:val="20"/>
              </w:rPr>
              <w:t xml:space="preserve">ain </w:t>
            </w:r>
            <w:r w:rsidR="003665CD">
              <w:rPr>
                <w:sz w:val="20"/>
                <w:szCs w:val="20"/>
              </w:rPr>
              <w:t>R</w:t>
            </w:r>
            <w:r w:rsidRPr="00994B83">
              <w:rPr>
                <w:sz w:val="20"/>
                <w:szCs w:val="20"/>
              </w:rPr>
              <w:t xml:space="preserve">iver. It includes rivers, streams, land and roadside ditches, drains, cuts, culverts, dikes, sluices, </w:t>
            </w:r>
            <w:r w:rsidR="003665CD">
              <w:rPr>
                <w:sz w:val="20"/>
                <w:szCs w:val="20"/>
              </w:rPr>
              <w:t xml:space="preserve">some </w:t>
            </w:r>
            <w:r w:rsidRPr="00994B83">
              <w:rPr>
                <w:sz w:val="20"/>
                <w:szCs w:val="20"/>
              </w:rPr>
              <w:t>sewers (other than public sewers within the meaning of the Water Industry Act 1991) and passages, through which water flows.</w:t>
            </w:r>
          </w:p>
        </w:tc>
      </w:tr>
      <w:tr w:rsidR="00F14592" w:rsidRPr="00994B83" w14:paraId="68CCE8A9"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1CBF6181" w14:textId="77777777" w:rsidR="00F14592" w:rsidRPr="00994B83" w:rsidRDefault="00F14592" w:rsidP="00F14592">
            <w:pPr>
              <w:spacing w:before="40" w:after="40" w:line="240" w:lineRule="auto"/>
              <w:ind w:left="0"/>
              <w:jc w:val="center"/>
              <w:rPr>
                <w:sz w:val="20"/>
                <w:szCs w:val="20"/>
              </w:rPr>
            </w:pPr>
            <w:r w:rsidRPr="00994B83">
              <w:rPr>
                <w:sz w:val="20"/>
                <w:szCs w:val="20"/>
              </w:rPr>
              <w:t>Residual Risk</w:t>
            </w:r>
          </w:p>
        </w:tc>
        <w:tc>
          <w:tcPr>
            <w:tcW w:w="7938" w:type="dxa"/>
          </w:tcPr>
          <w:p w14:paraId="670C956A" w14:textId="285962BB" w:rsidR="00F14592" w:rsidRPr="00994B83" w:rsidRDefault="00FC478A" w:rsidP="00FC478A">
            <w:pPr>
              <w:spacing w:before="40" w:after="40" w:line="240" w:lineRule="auto"/>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Defined in the </w:t>
            </w:r>
            <w:hyperlink r:id="rId16" w:anchor="development-will-be-safe" w:history="1">
              <w:r w:rsidRPr="00FC478A">
                <w:rPr>
                  <w:rStyle w:val="Hyperlink"/>
                  <w:sz w:val="20"/>
                  <w:szCs w:val="20"/>
                </w:rPr>
                <w:t>Planning Practice Guidance</w:t>
              </w:r>
            </w:hyperlink>
            <w:r>
              <w:rPr>
                <w:sz w:val="20"/>
                <w:szCs w:val="20"/>
              </w:rPr>
              <w:t xml:space="preserve"> as the r</w:t>
            </w:r>
            <w:r w:rsidR="00F14592" w:rsidRPr="00994B83">
              <w:rPr>
                <w:sz w:val="20"/>
                <w:szCs w:val="20"/>
              </w:rPr>
              <w:t xml:space="preserve">isks </w:t>
            </w:r>
            <w:r>
              <w:rPr>
                <w:sz w:val="20"/>
                <w:szCs w:val="20"/>
              </w:rPr>
              <w:t xml:space="preserve">that remain </w:t>
            </w:r>
            <w:r w:rsidR="00F14592" w:rsidRPr="00994B83">
              <w:rPr>
                <w:sz w:val="20"/>
                <w:szCs w:val="20"/>
              </w:rPr>
              <w:t>after</w:t>
            </w:r>
            <w:r w:rsidR="001B3DE5" w:rsidRPr="00994B83">
              <w:rPr>
                <w:sz w:val="20"/>
                <w:szCs w:val="20"/>
              </w:rPr>
              <w:t xml:space="preserve"> applying the sequential approach and taking</w:t>
            </w:r>
            <w:r w:rsidR="00F14592" w:rsidRPr="00994B83">
              <w:rPr>
                <w:sz w:val="20"/>
                <w:szCs w:val="20"/>
              </w:rPr>
              <w:t xml:space="preserve"> steps to mitigate against flood risk. </w:t>
            </w:r>
          </w:p>
        </w:tc>
      </w:tr>
      <w:tr w:rsidR="00F14592" w:rsidRPr="00994B83" w14:paraId="7D7964F4"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18067D7A" w14:textId="77777777" w:rsidR="00F14592" w:rsidRPr="00994B83" w:rsidRDefault="00F14592" w:rsidP="00F14592">
            <w:pPr>
              <w:spacing w:before="40" w:after="40" w:line="240" w:lineRule="auto"/>
              <w:ind w:left="0"/>
              <w:jc w:val="center"/>
              <w:rPr>
                <w:sz w:val="20"/>
                <w:szCs w:val="20"/>
              </w:rPr>
            </w:pPr>
            <w:r w:rsidRPr="00994B83">
              <w:rPr>
                <w:sz w:val="20"/>
                <w:szCs w:val="20"/>
              </w:rPr>
              <w:t>Risk Management Authorities</w:t>
            </w:r>
          </w:p>
        </w:tc>
        <w:tc>
          <w:tcPr>
            <w:tcW w:w="7938" w:type="dxa"/>
          </w:tcPr>
          <w:p w14:paraId="4C08823E" w14:textId="6894FF26" w:rsidR="00F14592" w:rsidRPr="00994B83" w:rsidRDefault="00F14592" w:rsidP="00F14592">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994B83">
              <w:rPr>
                <w:sz w:val="20"/>
                <w:szCs w:val="20"/>
              </w:rPr>
              <w:t xml:space="preserve">Defined within the </w:t>
            </w:r>
            <w:hyperlink r:id="rId17" w:history="1">
              <w:r w:rsidRPr="00FC478A">
                <w:rPr>
                  <w:rStyle w:val="Hyperlink"/>
                  <w:sz w:val="20"/>
                  <w:szCs w:val="20"/>
                </w:rPr>
                <w:t xml:space="preserve">Flood and Water Management Act </w:t>
              </w:r>
              <w:r w:rsidR="00FC478A" w:rsidRPr="00FC478A">
                <w:rPr>
                  <w:rStyle w:val="Hyperlink"/>
                  <w:sz w:val="20"/>
                  <w:szCs w:val="20"/>
                </w:rPr>
                <w:t>(</w:t>
              </w:r>
              <w:r w:rsidRPr="00FC478A">
                <w:rPr>
                  <w:rStyle w:val="Hyperlink"/>
                  <w:sz w:val="20"/>
                  <w:szCs w:val="20"/>
                </w:rPr>
                <w:t>2010</w:t>
              </w:r>
              <w:r w:rsidR="00FC478A" w:rsidRPr="00FC478A">
                <w:rPr>
                  <w:rStyle w:val="Hyperlink"/>
                  <w:sz w:val="20"/>
                  <w:szCs w:val="20"/>
                </w:rPr>
                <w:t>)</w:t>
              </w:r>
            </w:hyperlink>
            <w:r w:rsidRPr="00994B83">
              <w:rPr>
                <w:sz w:val="20"/>
                <w:szCs w:val="20"/>
              </w:rPr>
              <w:t>, these include Lead Local Flood Authorities, highway authorities, water and sewerage companies, plus the Environment Agency.</w:t>
            </w:r>
          </w:p>
        </w:tc>
      </w:tr>
      <w:tr w:rsidR="00F14592" w:rsidRPr="00994B83" w14:paraId="602D0D00" w14:textId="77777777" w:rsidTr="00EC07A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22" w:type="dxa"/>
          </w:tcPr>
          <w:p w14:paraId="3522DC14" w14:textId="77777777" w:rsidR="00F14592" w:rsidRPr="00994B83" w:rsidRDefault="00F14592" w:rsidP="00F14592">
            <w:pPr>
              <w:spacing w:before="40" w:after="40" w:line="240" w:lineRule="auto"/>
              <w:ind w:left="0"/>
              <w:jc w:val="center"/>
              <w:rPr>
                <w:sz w:val="20"/>
                <w:szCs w:val="20"/>
              </w:rPr>
            </w:pPr>
            <w:r w:rsidRPr="00994B83">
              <w:rPr>
                <w:sz w:val="20"/>
                <w:szCs w:val="20"/>
              </w:rPr>
              <w:t>Sequential Test</w:t>
            </w:r>
          </w:p>
        </w:tc>
        <w:tc>
          <w:tcPr>
            <w:tcW w:w="7938" w:type="dxa"/>
          </w:tcPr>
          <w:p w14:paraId="1561B36D" w14:textId="33E1ED67" w:rsidR="00F14592" w:rsidRPr="00994B83" w:rsidRDefault="00F14592" w:rsidP="00F14592">
            <w:pPr>
              <w:spacing w:before="40" w:after="40" w:line="24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994B83">
              <w:rPr>
                <w:rFonts w:ascii="Calibri" w:hAnsi="Calibri"/>
                <w:sz w:val="20"/>
                <w:szCs w:val="20"/>
                <w:lang w:eastAsia="en-GB"/>
              </w:rPr>
              <w:t xml:space="preserve">Defined within the Flood Risk and Coastal Change </w:t>
            </w:r>
            <w:hyperlink r:id="rId18" w:anchor="aim-of-Sequential-Test" w:history="1">
              <w:r w:rsidRPr="00225F34">
                <w:rPr>
                  <w:rStyle w:val="Hyperlink"/>
                  <w:rFonts w:ascii="Calibri" w:hAnsi="Calibri"/>
                  <w:sz w:val="20"/>
                  <w:szCs w:val="20"/>
                  <w:lang w:eastAsia="en-GB"/>
                </w:rPr>
                <w:t>Planning Practice Guidance</w:t>
              </w:r>
            </w:hyperlink>
            <w:r w:rsidRPr="00994B83">
              <w:rPr>
                <w:rFonts w:ascii="Calibri" w:hAnsi="Calibri"/>
                <w:sz w:val="20"/>
                <w:szCs w:val="20"/>
                <w:lang w:eastAsia="en-GB"/>
              </w:rPr>
              <w:t xml:space="preserve">, this is </w:t>
            </w:r>
            <w:r w:rsidRPr="00994B83">
              <w:rPr>
                <w:sz w:val="20"/>
                <w:szCs w:val="20"/>
              </w:rPr>
              <w:t>a sequential approach which aims to steer new development to areas with the lowest probability of flooding.</w:t>
            </w:r>
          </w:p>
        </w:tc>
      </w:tr>
      <w:tr w:rsidR="00F14592" w:rsidRPr="00994B83" w14:paraId="080D8BA9" w14:textId="77777777" w:rsidTr="00EC07A9">
        <w:trPr>
          <w:trHeight w:val="188"/>
        </w:trPr>
        <w:tc>
          <w:tcPr>
            <w:cnfStyle w:val="001000000000" w:firstRow="0" w:lastRow="0" w:firstColumn="1" w:lastColumn="0" w:oddVBand="0" w:evenVBand="0" w:oddHBand="0" w:evenHBand="0" w:firstRowFirstColumn="0" w:firstRowLastColumn="0" w:lastRowFirstColumn="0" w:lastRowLastColumn="0"/>
            <w:tcW w:w="2122" w:type="dxa"/>
          </w:tcPr>
          <w:p w14:paraId="3B589FE1" w14:textId="77777777" w:rsidR="00F14592" w:rsidRPr="00994B83" w:rsidRDefault="00F14592" w:rsidP="00F14592">
            <w:pPr>
              <w:spacing w:before="40" w:after="40" w:line="240" w:lineRule="auto"/>
              <w:ind w:left="0"/>
              <w:jc w:val="center"/>
              <w:rPr>
                <w:sz w:val="20"/>
                <w:szCs w:val="20"/>
              </w:rPr>
            </w:pPr>
            <w:r w:rsidRPr="00994B83">
              <w:rPr>
                <w:sz w:val="20"/>
                <w:szCs w:val="20"/>
              </w:rPr>
              <w:t>Strategic Flood Risk Assessment</w:t>
            </w:r>
          </w:p>
        </w:tc>
        <w:tc>
          <w:tcPr>
            <w:tcW w:w="7938" w:type="dxa"/>
          </w:tcPr>
          <w:p w14:paraId="51FA3D46" w14:textId="4E94287A" w:rsidR="00F14592" w:rsidRPr="00994B83" w:rsidRDefault="00F14592" w:rsidP="00F14592">
            <w:pPr>
              <w:spacing w:before="40" w:after="40" w:line="240" w:lineRule="auto"/>
              <w:ind w:left="0"/>
              <w:cnfStyle w:val="000000000000" w:firstRow="0" w:lastRow="0" w:firstColumn="0" w:lastColumn="0" w:oddVBand="0" w:evenVBand="0" w:oddHBand="0" w:evenHBand="0" w:firstRowFirstColumn="0" w:firstRowLastColumn="0" w:lastRowFirstColumn="0" w:lastRowLastColumn="0"/>
              <w:rPr>
                <w:sz w:val="20"/>
                <w:szCs w:val="20"/>
              </w:rPr>
            </w:pPr>
            <w:r w:rsidRPr="00994B83">
              <w:rPr>
                <w:sz w:val="20"/>
                <w:szCs w:val="20"/>
              </w:rPr>
              <w:t xml:space="preserve">A study carried out by one or more </w:t>
            </w:r>
            <w:r w:rsidR="003665CD">
              <w:rPr>
                <w:sz w:val="20"/>
                <w:szCs w:val="20"/>
              </w:rPr>
              <w:t>L</w:t>
            </w:r>
            <w:r w:rsidRPr="00994B83">
              <w:rPr>
                <w:sz w:val="20"/>
                <w:szCs w:val="20"/>
              </w:rPr>
              <w:t xml:space="preserve">ocal </w:t>
            </w:r>
            <w:r w:rsidR="003665CD">
              <w:rPr>
                <w:sz w:val="20"/>
                <w:szCs w:val="20"/>
              </w:rPr>
              <w:t>P</w:t>
            </w:r>
            <w:r w:rsidRPr="00994B83">
              <w:rPr>
                <w:sz w:val="20"/>
                <w:szCs w:val="20"/>
              </w:rPr>
              <w:t xml:space="preserve">lanning </w:t>
            </w:r>
            <w:r w:rsidR="003665CD">
              <w:rPr>
                <w:sz w:val="20"/>
                <w:szCs w:val="20"/>
              </w:rPr>
              <w:t>A</w:t>
            </w:r>
            <w:r w:rsidRPr="00994B83">
              <w:rPr>
                <w:sz w:val="20"/>
                <w:szCs w:val="20"/>
              </w:rPr>
              <w:t xml:space="preserve">uthorities to assess the risk of flooding from all sources, now and in the future, in a given geographical area. The Assessment </w:t>
            </w:r>
            <w:proofErr w:type="gramStart"/>
            <w:r w:rsidRPr="00994B83">
              <w:rPr>
                <w:sz w:val="20"/>
                <w:szCs w:val="20"/>
              </w:rPr>
              <w:t xml:space="preserve">takes into </w:t>
            </w:r>
            <w:r w:rsidRPr="00994B83">
              <w:rPr>
                <w:sz w:val="20"/>
                <w:szCs w:val="20"/>
              </w:rPr>
              <w:lastRenderedPageBreak/>
              <w:t>account</w:t>
            </w:r>
            <w:proofErr w:type="gramEnd"/>
            <w:r w:rsidRPr="00994B83">
              <w:rPr>
                <w:sz w:val="20"/>
                <w:szCs w:val="20"/>
              </w:rPr>
              <w:t xml:space="preserve"> the impacts of climate </w:t>
            </w:r>
            <w:r w:rsidR="002B1332" w:rsidRPr="00994B83">
              <w:rPr>
                <w:sz w:val="20"/>
                <w:szCs w:val="20"/>
              </w:rPr>
              <w:t>change and</w:t>
            </w:r>
            <w:r w:rsidRPr="00994B83">
              <w:rPr>
                <w:sz w:val="20"/>
                <w:szCs w:val="20"/>
              </w:rPr>
              <w:t xml:space="preserve"> assesses the impact that development and land use changes in the area will have on flood risk.</w:t>
            </w:r>
          </w:p>
        </w:tc>
      </w:tr>
      <w:tr w:rsidR="00F14592" w:rsidRPr="00994B83" w14:paraId="74D543C4" w14:textId="77777777" w:rsidTr="00EC07A9">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122" w:type="dxa"/>
          </w:tcPr>
          <w:p w14:paraId="0AB39516" w14:textId="271E7AC2" w:rsidR="00F14592" w:rsidRPr="00994B83" w:rsidRDefault="00F14592" w:rsidP="00F14592">
            <w:pPr>
              <w:spacing w:before="40" w:after="40" w:line="240" w:lineRule="auto"/>
              <w:ind w:left="0"/>
              <w:jc w:val="center"/>
              <w:rPr>
                <w:sz w:val="20"/>
                <w:szCs w:val="20"/>
              </w:rPr>
            </w:pPr>
            <w:r w:rsidRPr="00994B83">
              <w:rPr>
                <w:sz w:val="20"/>
                <w:szCs w:val="20"/>
              </w:rPr>
              <w:lastRenderedPageBreak/>
              <w:t>Sustainable Drainage Systems</w:t>
            </w:r>
          </w:p>
        </w:tc>
        <w:tc>
          <w:tcPr>
            <w:tcW w:w="7938" w:type="dxa"/>
          </w:tcPr>
          <w:p w14:paraId="266B136F" w14:textId="77777777" w:rsidR="00F14592" w:rsidRPr="00994B83" w:rsidRDefault="00F14592" w:rsidP="00F14592">
            <w:pPr>
              <w:spacing w:before="40" w:after="40" w:line="240" w:lineRule="auto"/>
              <w:ind w:left="0"/>
              <w:cnfStyle w:val="000000100000" w:firstRow="0" w:lastRow="0" w:firstColumn="0" w:lastColumn="0" w:oddVBand="0" w:evenVBand="0" w:oddHBand="1" w:evenHBand="0" w:firstRowFirstColumn="0" w:firstRowLastColumn="0" w:lastRowFirstColumn="0" w:lastRowLastColumn="0"/>
              <w:rPr>
                <w:sz w:val="20"/>
                <w:szCs w:val="20"/>
              </w:rPr>
            </w:pPr>
            <w:r w:rsidRPr="00994B83">
              <w:rPr>
                <w:sz w:val="20"/>
                <w:szCs w:val="20"/>
              </w:rPr>
              <w:t>A sequence of measures and techniques designed to manage surface water runoff. The management practices and structures mimic natural processes to control flow rates, improve water quality, and improve water drainage and groundwater recharge.</w:t>
            </w:r>
          </w:p>
        </w:tc>
      </w:tr>
    </w:tbl>
    <w:p w14:paraId="00EA84E2" w14:textId="3C181137" w:rsidR="00D3139B" w:rsidRDefault="00D3139B">
      <w:pPr>
        <w:spacing w:after="0" w:line="240" w:lineRule="auto"/>
        <w:ind w:left="0"/>
        <w:jc w:val="left"/>
        <w:rPr>
          <w:b/>
          <w:color w:val="005CAB"/>
          <w:sz w:val="28"/>
          <w:szCs w:val="28"/>
        </w:rPr>
      </w:pPr>
    </w:p>
    <w:sectPr w:rsidR="00D3139B" w:rsidSect="00D3139B">
      <w:headerReference w:type="default" r:id="rId19"/>
      <w:footerReference w:type="default" r:id="rId20"/>
      <w:footerReference w:type="first" r:id="rId21"/>
      <w:pgSz w:w="11907" w:h="16840" w:code="9"/>
      <w:pgMar w:top="1560" w:right="1134" w:bottom="567" w:left="1134" w:header="569" w:footer="284"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01BC7" w14:textId="77777777" w:rsidR="005173E8" w:rsidRDefault="005173E8" w:rsidP="00AE248B">
      <w:r>
        <w:separator/>
      </w:r>
    </w:p>
  </w:endnote>
  <w:endnote w:type="continuationSeparator" w:id="0">
    <w:p w14:paraId="557CE392" w14:textId="77777777" w:rsidR="005173E8" w:rsidRDefault="005173E8" w:rsidP="00AE248B">
      <w:r>
        <w:continuationSeparator/>
      </w:r>
    </w:p>
  </w:endnote>
  <w:endnote w:type="continuationNotice" w:id="1">
    <w:p w14:paraId="4FF3208E" w14:textId="77777777" w:rsidR="005173E8" w:rsidRDefault="00517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single" w:sz="18" w:space="0" w:color="34719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668"/>
    </w:tblGrid>
    <w:tr w:rsidR="00332F7D" w:rsidRPr="008E6E5A" w14:paraId="0A311EBD" w14:textId="77777777" w:rsidTr="00FE3492">
      <w:trPr>
        <w:trHeight w:val="340"/>
      </w:trPr>
      <w:tc>
        <w:tcPr>
          <w:tcW w:w="5113" w:type="dxa"/>
          <w:vAlign w:val="center"/>
        </w:tcPr>
        <w:p w14:paraId="6172282F" w14:textId="77777777" w:rsidR="00332F7D" w:rsidRPr="008E6E5A" w:rsidRDefault="005173E8" w:rsidP="00CE038E">
          <w:pPr>
            <w:spacing w:after="0"/>
            <w:ind w:left="-108"/>
          </w:pPr>
          <w:sdt>
            <w:sdtPr>
              <w:rPr>
                <w:highlight w:val="yellow"/>
              </w:rPr>
              <w:id w:val="1793015691"/>
              <w:docPartObj>
                <w:docPartGallery w:val="Page Numbers (Top of Page)"/>
                <w:docPartUnique/>
              </w:docPartObj>
            </w:sdtPr>
            <w:sdtEndPr/>
            <w:sdtContent>
              <w:r w:rsidR="00332F7D" w:rsidRPr="008E6E5A">
                <w:rPr>
                  <w:noProof/>
                  <w:lang w:eastAsia="en-GB"/>
                </w:rPr>
                <w:drawing>
                  <wp:inline distT="0" distB="0" distL="0" distR="0" wp14:anchorId="3C80D32D" wp14:editId="35322B55">
                    <wp:extent cx="1308356" cy="175098"/>
                    <wp:effectExtent l="19050" t="0" r="6094" b="0"/>
                    <wp:docPr id="26" name="Picture 26" descr="M blue no gradient -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blue no gradient - crop.PNG"/>
                            <pic:cNvPicPr/>
                          </pic:nvPicPr>
                          <pic:blipFill>
                            <a:blip r:embed="rId1"/>
                            <a:stretch>
                              <a:fillRect/>
                            </a:stretch>
                          </pic:blipFill>
                          <pic:spPr>
                            <a:xfrm>
                              <a:off x="0" y="0"/>
                              <a:ext cx="1308693" cy="175143"/>
                            </a:xfrm>
                            <a:prstGeom prst="rect">
                              <a:avLst/>
                            </a:prstGeom>
                          </pic:spPr>
                        </pic:pic>
                      </a:graphicData>
                    </a:graphic>
                  </wp:inline>
                </w:drawing>
              </w:r>
            </w:sdtContent>
          </w:sdt>
        </w:p>
      </w:tc>
      <w:tc>
        <w:tcPr>
          <w:tcW w:w="4668" w:type="dxa"/>
          <w:vAlign w:val="center"/>
        </w:tcPr>
        <w:p w14:paraId="737C7F6B" w14:textId="4404DEF8" w:rsidR="00332F7D" w:rsidRPr="00FE3492" w:rsidRDefault="00332F7D" w:rsidP="00AE248B">
          <w:pPr>
            <w:pStyle w:val="Footer"/>
            <w:spacing w:after="0"/>
            <w:jc w:val="right"/>
            <w:rPr>
              <w:sz w:val="20"/>
              <w:szCs w:val="20"/>
            </w:rPr>
          </w:pPr>
          <w:r w:rsidRPr="00FE3492">
            <w:rPr>
              <w:sz w:val="20"/>
              <w:szCs w:val="20"/>
            </w:rPr>
            <w:fldChar w:fldCharType="begin"/>
          </w:r>
          <w:r w:rsidRPr="00FE3492">
            <w:rPr>
              <w:sz w:val="20"/>
              <w:szCs w:val="20"/>
            </w:rPr>
            <w:instrText xml:space="preserve"> PAGE </w:instrText>
          </w:r>
          <w:r w:rsidRPr="00FE3492">
            <w:rPr>
              <w:sz w:val="20"/>
              <w:szCs w:val="20"/>
            </w:rPr>
            <w:fldChar w:fldCharType="separate"/>
          </w:r>
          <w:r>
            <w:rPr>
              <w:noProof/>
              <w:sz w:val="20"/>
              <w:szCs w:val="20"/>
            </w:rPr>
            <w:t>ix</w:t>
          </w:r>
          <w:r w:rsidRPr="00FE3492">
            <w:rPr>
              <w:sz w:val="20"/>
              <w:szCs w:val="20"/>
            </w:rPr>
            <w:fldChar w:fldCharType="end"/>
          </w:r>
        </w:p>
      </w:tc>
    </w:tr>
  </w:tbl>
  <w:p w14:paraId="1974FDAC" w14:textId="77777777" w:rsidR="00332F7D" w:rsidRPr="00FE3492" w:rsidRDefault="00332F7D" w:rsidP="00AE248B">
    <w:pPr>
      <w:pStyle w:val="Footer"/>
      <w:spacing w:after="0"/>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089E" w14:textId="00335A4D" w:rsidR="00332F7D" w:rsidRPr="00AE248B" w:rsidRDefault="00332F7D" w:rsidP="00AE248B">
    <w:pPr>
      <w:pStyle w:val="Footer"/>
      <w:spacing w:after="0"/>
      <w:jc w:val="center"/>
      <w:rPr>
        <w:b/>
        <w:color w:val="005CA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AE538" w14:textId="77777777" w:rsidR="005173E8" w:rsidRDefault="005173E8" w:rsidP="00AE248B">
      <w:r>
        <w:separator/>
      </w:r>
    </w:p>
  </w:footnote>
  <w:footnote w:type="continuationSeparator" w:id="0">
    <w:p w14:paraId="5A48A5FE" w14:textId="77777777" w:rsidR="005173E8" w:rsidRDefault="005173E8" w:rsidP="00AE248B">
      <w:r>
        <w:continuationSeparator/>
      </w:r>
    </w:p>
  </w:footnote>
  <w:footnote w:type="continuationNotice" w:id="1">
    <w:p w14:paraId="2B2F58D2" w14:textId="77777777" w:rsidR="005173E8" w:rsidRDefault="005173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969"/>
    </w:tblGrid>
    <w:tr w:rsidR="00332F7D" w:rsidRPr="00FE3492" w14:paraId="3E705A9A" w14:textId="77777777" w:rsidTr="00FE3492">
      <w:trPr>
        <w:trHeight w:val="283"/>
      </w:trPr>
      <w:tc>
        <w:tcPr>
          <w:tcW w:w="5812" w:type="dxa"/>
          <w:vAlign w:val="center"/>
        </w:tcPr>
        <w:sdt>
          <w:sdtPr>
            <w:rPr>
              <w:sz w:val="18"/>
              <w:szCs w:val="18"/>
            </w:rPr>
            <w:alias w:val="Company"/>
            <w:tag w:val=""/>
            <w:id w:val="-64572978"/>
            <w:dataBinding w:prefixMappings="xmlns:ns0='http://schemas.openxmlformats.org/officeDocument/2006/extended-properties' " w:xpath="/ns0:Properties[1]/ns0:Company[1]" w:storeItemID="{6668398D-A668-4E3E-A5EB-62B293D839F1}"/>
            <w:text/>
          </w:sdtPr>
          <w:sdtEndPr/>
          <w:sdtContent>
            <w:p w14:paraId="7E5AB4F1" w14:textId="0BA79B51" w:rsidR="00332F7D" w:rsidRPr="00FE3492" w:rsidRDefault="00332F7D" w:rsidP="00CE038E">
              <w:pPr>
                <w:pStyle w:val="Header"/>
                <w:spacing w:after="0"/>
                <w:ind w:left="0"/>
                <w:rPr>
                  <w:sz w:val="18"/>
                  <w:szCs w:val="18"/>
                </w:rPr>
              </w:pPr>
              <w:r w:rsidRPr="00FE3492">
                <w:rPr>
                  <w:sz w:val="18"/>
                  <w:szCs w:val="18"/>
                </w:rPr>
                <w:t>London Boroughs of Barnet, Brent, Ealing, Harrow, Hillingdon and Hounslow</w:t>
              </w:r>
            </w:p>
          </w:sdtContent>
        </w:sdt>
      </w:tc>
      <w:sdt>
        <w:sdtPr>
          <w:rPr>
            <w:sz w:val="18"/>
            <w:szCs w:val="18"/>
          </w:rPr>
          <w:alias w:val="Keywords"/>
          <w:tag w:val=""/>
          <w:id w:val="-1880233960"/>
          <w:dataBinding w:prefixMappings="xmlns:ns0='http://purl.org/dc/elements/1.1/' xmlns:ns1='http://schemas.openxmlformats.org/package/2006/metadata/core-properties' " w:xpath="/ns1:coreProperties[1]/ns1:keywords[1]" w:storeItemID="{6C3C8BC8-F283-45AE-878A-BAB7291924A1}"/>
          <w:text/>
        </w:sdtPr>
        <w:sdtEndPr/>
        <w:sdtContent>
          <w:tc>
            <w:tcPr>
              <w:tcW w:w="3969" w:type="dxa"/>
              <w:vAlign w:val="center"/>
            </w:tcPr>
            <w:p w14:paraId="78DC81E6" w14:textId="1386D82B" w:rsidR="00332F7D" w:rsidRPr="00FE3492" w:rsidRDefault="00332F7D" w:rsidP="00AE248B">
              <w:pPr>
                <w:pStyle w:val="Header"/>
                <w:spacing w:after="0"/>
                <w:ind w:left="0"/>
                <w:jc w:val="right"/>
                <w:rPr>
                  <w:sz w:val="18"/>
                  <w:szCs w:val="18"/>
                </w:rPr>
              </w:pPr>
              <w:r>
                <w:rPr>
                  <w:sz w:val="18"/>
                  <w:szCs w:val="18"/>
                </w:rPr>
                <w:t>April 2018</w:t>
              </w:r>
            </w:p>
          </w:tc>
        </w:sdtContent>
      </w:sdt>
    </w:tr>
    <w:tr w:rsidR="00332F7D" w:rsidRPr="00FE3492" w14:paraId="34034D19" w14:textId="77777777" w:rsidTr="00FE3492">
      <w:trPr>
        <w:trHeight w:val="283"/>
      </w:trPr>
      <w:tc>
        <w:tcPr>
          <w:tcW w:w="5812" w:type="dxa"/>
          <w:tcBorders>
            <w:bottom w:val="single" w:sz="18" w:space="0" w:color="005CAB"/>
          </w:tcBorders>
          <w:vAlign w:val="center"/>
        </w:tcPr>
        <w:sdt>
          <w:sdtPr>
            <w:rPr>
              <w:sz w:val="18"/>
              <w:szCs w:val="18"/>
            </w:rPr>
            <w:alias w:val="Title"/>
            <w:tag w:val=""/>
            <w:id w:val="983425950"/>
            <w:dataBinding w:prefixMappings="xmlns:ns0='http://purl.org/dc/elements/1.1/' xmlns:ns1='http://schemas.openxmlformats.org/package/2006/metadata/core-properties' " w:xpath="/ns1:coreProperties[1]/ns0:title[1]" w:storeItemID="{6C3C8BC8-F283-45AE-878A-BAB7291924A1}"/>
            <w:text/>
          </w:sdtPr>
          <w:sdtEndPr/>
          <w:sdtContent>
            <w:p w14:paraId="77509E22" w14:textId="0CD62776" w:rsidR="00332F7D" w:rsidRPr="00FE3492" w:rsidRDefault="00332F7D" w:rsidP="00AE248B">
              <w:pPr>
                <w:pStyle w:val="Header"/>
                <w:spacing w:after="0"/>
                <w:ind w:left="0"/>
                <w:rPr>
                  <w:sz w:val="18"/>
                  <w:szCs w:val="18"/>
                </w:rPr>
              </w:pPr>
              <w:r w:rsidRPr="00FE3492">
                <w:rPr>
                  <w:sz w:val="18"/>
                  <w:szCs w:val="18"/>
                </w:rPr>
                <w:t>Strategic Flood Risk Assessment - Level 1</w:t>
              </w:r>
            </w:p>
          </w:sdtContent>
        </w:sdt>
      </w:tc>
      <w:tc>
        <w:tcPr>
          <w:tcW w:w="3969" w:type="dxa"/>
          <w:tcBorders>
            <w:bottom w:val="single" w:sz="18" w:space="0" w:color="005CAB"/>
          </w:tcBorders>
          <w:vAlign w:val="center"/>
        </w:tcPr>
        <w:p w14:paraId="6ACF7689" w14:textId="1A98770C" w:rsidR="00332F7D" w:rsidRPr="00FE3492" w:rsidRDefault="00332F7D" w:rsidP="00A745D2">
          <w:pPr>
            <w:pStyle w:val="Header"/>
            <w:spacing w:after="0"/>
            <w:ind w:left="0"/>
            <w:jc w:val="right"/>
            <w:rPr>
              <w:sz w:val="18"/>
              <w:szCs w:val="18"/>
            </w:rPr>
          </w:pPr>
          <w:r w:rsidRPr="00FE3492">
            <w:rPr>
              <w:sz w:val="18"/>
              <w:szCs w:val="18"/>
            </w:rPr>
            <w:t xml:space="preserve">Version No. </w:t>
          </w:r>
          <w:sdt>
            <w:sdtPr>
              <w:rPr>
                <w:sz w:val="18"/>
                <w:szCs w:val="18"/>
              </w:rPr>
              <w:alias w:val="Category"/>
              <w:tag w:val=""/>
              <w:id w:val="-2126834602"/>
              <w:dataBinding w:prefixMappings="xmlns:ns0='http://purl.org/dc/elements/1.1/' xmlns:ns1='http://schemas.openxmlformats.org/package/2006/metadata/core-properties' " w:xpath="/ns1:coreProperties[1]/ns1:category[1]" w:storeItemID="{6C3C8BC8-F283-45AE-878A-BAB7291924A1}"/>
              <w:text/>
            </w:sdtPr>
            <w:sdtEndPr/>
            <w:sdtContent>
              <w:r>
                <w:rPr>
                  <w:sz w:val="18"/>
                  <w:szCs w:val="18"/>
                </w:rPr>
                <w:t>1.4</w:t>
              </w:r>
            </w:sdtContent>
          </w:sdt>
        </w:p>
      </w:tc>
    </w:tr>
  </w:tbl>
  <w:p w14:paraId="7DB17E23" w14:textId="77777777" w:rsidR="00332F7D" w:rsidRPr="00FE3492" w:rsidRDefault="00332F7D" w:rsidP="00AE248B">
    <w:pPr>
      <w:pStyle w:val="Header"/>
      <w:spacing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471"/>
    <w:multiLevelType w:val="multilevel"/>
    <w:tmpl w:val="236C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D6159"/>
    <w:multiLevelType w:val="hybridMultilevel"/>
    <w:tmpl w:val="F196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3262"/>
    <w:multiLevelType w:val="hybridMultilevel"/>
    <w:tmpl w:val="5D46B0BE"/>
    <w:lvl w:ilvl="0" w:tplc="F852F04C">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9564E53"/>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5047B2"/>
    <w:multiLevelType w:val="hybridMultilevel"/>
    <w:tmpl w:val="5280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61FA5"/>
    <w:multiLevelType w:val="hybridMultilevel"/>
    <w:tmpl w:val="78A60C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AF20AA8"/>
    <w:multiLevelType w:val="hybridMultilevel"/>
    <w:tmpl w:val="E408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152B5"/>
    <w:multiLevelType w:val="hybridMultilevel"/>
    <w:tmpl w:val="4A1EC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021E5"/>
    <w:multiLevelType w:val="hybridMultilevel"/>
    <w:tmpl w:val="AD0AF5EE"/>
    <w:lvl w:ilvl="0" w:tplc="35CA176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2F02BB2"/>
    <w:multiLevelType w:val="multilevel"/>
    <w:tmpl w:val="06F0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206D43"/>
    <w:multiLevelType w:val="hybridMultilevel"/>
    <w:tmpl w:val="06822B6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5A92193"/>
    <w:multiLevelType w:val="hybridMultilevel"/>
    <w:tmpl w:val="342E355A"/>
    <w:lvl w:ilvl="0" w:tplc="3A9CFCE4">
      <w:start w:val="1"/>
      <w:numFmt w:val="decimal"/>
      <w:lvlText w:val="%1."/>
      <w:lvlJc w:val="left"/>
      <w:pPr>
        <w:ind w:left="1494" w:hanging="360"/>
      </w:pPr>
      <w:rPr>
        <w:rFonts w:hint="default"/>
        <w:i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C5C2988"/>
    <w:multiLevelType w:val="hybridMultilevel"/>
    <w:tmpl w:val="13E0EA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0B444E6"/>
    <w:multiLevelType w:val="hybridMultilevel"/>
    <w:tmpl w:val="E93886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0C270BE"/>
    <w:multiLevelType w:val="hybridMultilevel"/>
    <w:tmpl w:val="5D46B0BE"/>
    <w:lvl w:ilvl="0" w:tplc="F852F04C">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20F5F24"/>
    <w:multiLevelType w:val="hybridMultilevel"/>
    <w:tmpl w:val="77C2A7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3407BD0"/>
    <w:multiLevelType w:val="hybridMultilevel"/>
    <w:tmpl w:val="5D46B0BE"/>
    <w:lvl w:ilvl="0" w:tplc="F852F04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526602F"/>
    <w:multiLevelType w:val="hybridMultilevel"/>
    <w:tmpl w:val="520A9C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8FB5C1D"/>
    <w:multiLevelType w:val="hybridMultilevel"/>
    <w:tmpl w:val="BDD2D41C"/>
    <w:lvl w:ilvl="0" w:tplc="C29088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A0B69"/>
    <w:multiLevelType w:val="hybridMultilevel"/>
    <w:tmpl w:val="F00A40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9BE0CA6"/>
    <w:multiLevelType w:val="hybridMultilevel"/>
    <w:tmpl w:val="C27EF7EC"/>
    <w:lvl w:ilvl="0" w:tplc="08090001">
      <w:start w:val="1"/>
      <w:numFmt w:val="bullet"/>
      <w:lvlText w:val=""/>
      <w:lvlJc w:val="left"/>
      <w:pPr>
        <w:ind w:left="1945" w:hanging="360"/>
      </w:pPr>
      <w:rPr>
        <w:rFonts w:ascii="Symbol" w:hAnsi="Symbol" w:hint="default"/>
      </w:rPr>
    </w:lvl>
    <w:lvl w:ilvl="1" w:tplc="08090003" w:tentative="1">
      <w:start w:val="1"/>
      <w:numFmt w:val="bullet"/>
      <w:lvlText w:val="o"/>
      <w:lvlJc w:val="left"/>
      <w:pPr>
        <w:ind w:left="2665" w:hanging="360"/>
      </w:pPr>
      <w:rPr>
        <w:rFonts w:ascii="Courier New" w:hAnsi="Courier New" w:cs="Courier New" w:hint="default"/>
      </w:rPr>
    </w:lvl>
    <w:lvl w:ilvl="2" w:tplc="08090005" w:tentative="1">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21" w15:restartNumberingAfterBreak="0">
    <w:nsid w:val="2A331AD6"/>
    <w:multiLevelType w:val="hybridMultilevel"/>
    <w:tmpl w:val="57C815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AAF3251"/>
    <w:multiLevelType w:val="hybridMultilevel"/>
    <w:tmpl w:val="0B32F4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0F034FE"/>
    <w:multiLevelType w:val="hybridMultilevel"/>
    <w:tmpl w:val="65C0DF30"/>
    <w:lvl w:ilvl="0" w:tplc="429CC588">
      <w:start w:val="1"/>
      <w:numFmt w:val="bullet"/>
      <w:pStyle w:val="BidBullets"/>
      <w:lvlText w:val=""/>
      <w:lvlJc w:val="left"/>
      <w:pPr>
        <w:tabs>
          <w:tab w:val="num" w:pos="1069"/>
        </w:tabs>
        <w:ind w:left="1069" w:hanging="709"/>
      </w:pPr>
      <w:rPr>
        <w:rFonts w:ascii="Symbol" w:hAnsi="Symbol" w:cs="Perpetua Titling MT" w:hint="default"/>
        <w:caps w:val="0"/>
        <w:strike w:val="0"/>
        <w:dstrike w:val="0"/>
        <w:vanish w:val="0"/>
        <w:color w:val="34719F"/>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F54021"/>
    <w:multiLevelType w:val="hybridMultilevel"/>
    <w:tmpl w:val="B6A20DA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9A16B54C">
      <w:start w:val="4"/>
      <w:numFmt w:val="bullet"/>
      <w:lvlText w:val="-"/>
      <w:lvlJc w:val="left"/>
      <w:pPr>
        <w:ind w:left="3294" w:hanging="360"/>
      </w:pPr>
      <w:rPr>
        <w:rFonts w:ascii="Calibri" w:eastAsia="Times New Roman" w:hAnsi="Calibri" w:cs="Calibri"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36261546"/>
    <w:multiLevelType w:val="hybridMultilevel"/>
    <w:tmpl w:val="8778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4C1413"/>
    <w:multiLevelType w:val="hybridMultilevel"/>
    <w:tmpl w:val="9A1A587A"/>
    <w:lvl w:ilvl="0" w:tplc="682CF0C4">
      <w:start w:val="1"/>
      <w:numFmt w:val="decimal"/>
      <w:lvlText w:val="%1"/>
      <w:lvlJc w:val="left"/>
      <w:pPr>
        <w:ind w:left="720" w:hanging="360"/>
      </w:pPr>
      <w:rPr>
        <w:rFonts w:hint="default"/>
      </w:rPr>
    </w:lvl>
    <w:lvl w:ilvl="1" w:tplc="97A038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096E3C"/>
    <w:multiLevelType w:val="hybridMultilevel"/>
    <w:tmpl w:val="A96C3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8B4ECB"/>
    <w:multiLevelType w:val="hybridMultilevel"/>
    <w:tmpl w:val="62AE30BC"/>
    <w:lvl w:ilvl="0" w:tplc="0409000F">
      <w:start w:val="1"/>
      <w:numFmt w:val="decimal"/>
      <w:lvlText w:val="%1."/>
      <w:lvlJc w:val="lef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39AC4278"/>
    <w:multiLevelType w:val="hybridMultilevel"/>
    <w:tmpl w:val="AD0AF5EE"/>
    <w:lvl w:ilvl="0" w:tplc="35CA176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3CD60DE7"/>
    <w:multiLevelType w:val="multilevel"/>
    <w:tmpl w:val="0D72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08424D"/>
    <w:multiLevelType w:val="hybridMultilevel"/>
    <w:tmpl w:val="2548A864"/>
    <w:lvl w:ilvl="0" w:tplc="181A0B56">
      <w:start w:val="1"/>
      <w:numFmt w:val="bullet"/>
      <w:pStyle w:val="PABullet1"/>
      <w:lvlText w:val=""/>
      <w:lvlJc w:val="left"/>
      <w:pPr>
        <w:tabs>
          <w:tab w:val="num" w:pos="360"/>
        </w:tabs>
        <w:ind w:left="170" w:hanging="170"/>
      </w:pPr>
      <w:rPr>
        <w:rFonts w:ascii="Symbol" w:hAnsi="Symbol"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73434A"/>
    <w:multiLevelType w:val="hybridMultilevel"/>
    <w:tmpl w:val="617C31D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42475B61"/>
    <w:multiLevelType w:val="hybridMultilevel"/>
    <w:tmpl w:val="DD14D0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430C6A01"/>
    <w:multiLevelType w:val="hybridMultilevel"/>
    <w:tmpl w:val="DB247F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0E41FC"/>
    <w:multiLevelType w:val="hybridMultilevel"/>
    <w:tmpl w:val="2E82876A"/>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6" w15:restartNumberingAfterBreak="0">
    <w:nsid w:val="43A43774"/>
    <w:multiLevelType w:val="hybridMultilevel"/>
    <w:tmpl w:val="5CB646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454D6B68"/>
    <w:multiLevelType w:val="hybridMultilevel"/>
    <w:tmpl w:val="930C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2B7C10"/>
    <w:multiLevelType w:val="multilevel"/>
    <w:tmpl w:val="8E32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B769FA"/>
    <w:multiLevelType w:val="hybridMultilevel"/>
    <w:tmpl w:val="62AE30BC"/>
    <w:lvl w:ilvl="0" w:tplc="0409000F">
      <w:start w:val="1"/>
      <w:numFmt w:val="decimal"/>
      <w:lvlText w:val="%1."/>
      <w:lvlJc w:val="lef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4BCD42FE"/>
    <w:multiLevelType w:val="hybridMultilevel"/>
    <w:tmpl w:val="88CA485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D1F5B"/>
    <w:multiLevelType w:val="hybridMultilevel"/>
    <w:tmpl w:val="58BA3AA4"/>
    <w:lvl w:ilvl="0" w:tplc="04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4D284F85"/>
    <w:multiLevelType w:val="hybridMultilevel"/>
    <w:tmpl w:val="C4129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3" w15:restartNumberingAfterBreak="0">
    <w:nsid w:val="510D2499"/>
    <w:multiLevelType w:val="hybridMultilevel"/>
    <w:tmpl w:val="5CA6A5B2"/>
    <w:lvl w:ilvl="0" w:tplc="0809000F">
      <w:start w:val="1"/>
      <w:numFmt w:val="decimal"/>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53F17F37"/>
    <w:multiLevelType w:val="hybridMultilevel"/>
    <w:tmpl w:val="79A898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5464412B"/>
    <w:multiLevelType w:val="hybridMultilevel"/>
    <w:tmpl w:val="B630E4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57BC0C7A"/>
    <w:multiLevelType w:val="hybridMultilevel"/>
    <w:tmpl w:val="ACF2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3F7557"/>
    <w:multiLevelType w:val="hybridMultilevel"/>
    <w:tmpl w:val="CF14AC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8" w15:restartNumberingAfterBreak="0">
    <w:nsid w:val="5F963CE6"/>
    <w:multiLevelType w:val="hybridMultilevel"/>
    <w:tmpl w:val="1B8E6B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9" w15:restartNumberingAfterBreak="0">
    <w:nsid w:val="68C051AE"/>
    <w:multiLevelType w:val="hybridMultilevel"/>
    <w:tmpl w:val="811230A6"/>
    <w:lvl w:ilvl="0" w:tplc="08090001">
      <w:start w:val="1"/>
      <w:numFmt w:val="bullet"/>
      <w:lvlText w:val=""/>
      <w:lvlJc w:val="left"/>
      <w:pPr>
        <w:ind w:left="1945" w:hanging="360"/>
      </w:pPr>
      <w:rPr>
        <w:rFonts w:ascii="Symbol" w:hAnsi="Symbol" w:hint="default"/>
      </w:rPr>
    </w:lvl>
    <w:lvl w:ilvl="1" w:tplc="08090003" w:tentative="1">
      <w:start w:val="1"/>
      <w:numFmt w:val="bullet"/>
      <w:lvlText w:val="o"/>
      <w:lvlJc w:val="left"/>
      <w:pPr>
        <w:ind w:left="2665" w:hanging="360"/>
      </w:pPr>
      <w:rPr>
        <w:rFonts w:ascii="Courier New" w:hAnsi="Courier New" w:cs="Courier New" w:hint="default"/>
      </w:rPr>
    </w:lvl>
    <w:lvl w:ilvl="2" w:tplc="08090005" w:tentative="1">
      <w:start w:val="1"/>
      <w:numFmt w:val="bullet"/>
      <w:lvlText w:val=""/>
      <w:lvlJc w:val="left"/>
      <w:pPr>
        <w:ind w:left="3385" w:hanging="360"/>
      </w:pPr>
      <w:rPr>
        <w:rFonts w:ascii="Wingdings" w:hAnsi="Wingdings" w:hint="default"/>
      </w:rPr>
    </w:lvl>
    <w:lvl w:ilvl="3" w:tplc="08090001" w:tentative="1">
      <w:start w:val="1"/>
      <w:numFmt w:val="bullet"/>
      <w:lvlText w:val=""/>
      <w:lvlJc w:val="left"/>
      <w:pPr>
        <w:ind w:left="4105" w:hanging="360"/>
      </w:pPr>
      <w:rPr>
        <w:rFonts w:ascii="Symbol" w:hAnsi="Symbol" w:hint="default"/>
      </w:rPr>
    </w:lvl>
    <w:lvl w:ilvl="4" w:tplc="08090003" w:tentative="1">
      <w:start w:val="1"/>
      <w:numFmt w:val="bullet"/>
      <w:lvlText w:val="o"/>
      <w:lvlJc w:val="left"/>
      <w:pPr>
        <w:ind w:left="4825" w:hanging="360"/>
      </w:pPr>
      <w:rPr>
        <w:rFonts w:ascii="Courier New" w:hAnsi="Courier New" w:cs="Courier New" w:hint="default"/>
      </w:rPr>
    </w:lvl>
    <w:lvl w:ilvl="5" w:tplc="08090005" w:tentative="1">
      <w:start w:val="1"/>
      <w:numFmt w:val="bullet"/>
      <w:lvlText w:val=""/>
      <w:lvlJc w:val="left"/>
      <w:pPr>
        <w:ind w:left="5545" w:hanging="360"/>
      </w:pPr>
      <w:rPr>
        <w:rFonts w:ascii="Wingdings" w:hAnsi="Wingdings" w:hint="default"/>
      </w:rPr>
    </w:lvl>
    <w:lvl w:ilvl="6" w:tplc="08090001" w:tentative="1">
      <w:start w:val="1"/>
      <w:numFmt w:val="bullet"/>
      <w:lvlText w:val=""/>
      <w:lvlJc w:val="left"/>
      <w:pPr>
        <w:ind w:left="6265" w:hanging="360"/>
      </w:pPr>
      <w:rPr>
        <w:rFonts w:ascii="Symbol" w:hAnsi="Symbol" w:hint="default"/>
      </w:rPr>
    </w:lvl>
    <w:lvl w:ilvl="7" w:tplc="08090003" w:tentative="1">
      <w:start w:val="1"/>
      <w:numFmt w:val="bullet"/>
      <w:lvlText w:val="o"/>
      <w:lvlJc w:val="left"/>
      <w:pPr>
        <w:ind w:left="6985" w:hanging="360"/>
      </w:pPr>
      <w:rPr>
        <w:rFonts w:ascii="Courier New" w:hAnsi="Courier New" w:cs="Courier New" w:hint="default"/>
      </w:rPr>
    </w:lvl>
    <w:lvl w:ilvl="8" w:tplc="08090005" w:tentative="1">
      <w:start w:val="1"/>
      <w:numFmt w:val="bullet"/>
      <w:lvlText w:val=""/>
      <w:lvlJc w:val="left"/>
      <w:pPr>
        <w:ind w:left="7705" w:hanging="360"/>
      </w:pPr>
      <w:rPr>
        <w:rFonts w:ascii="Wingdings" w:hAnsi="Wingdings" w:hint="default"/>
      </w:rPr>
    </w:lvl>
  </w:abstractNum>
  <w:abstractNum w:abstractNumId="50" w15:restartNumberingAfterBreak="0">
    <w:nsid w:val="69593835"/>
    <w:multiLevelType w:val="hybridMultilevel"/>
    <w:tmpl w:val="EF5896E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1" w15:restartNumberingAfterBreak="0">
    <w:nsid w:val="6CD918A5"/>
    <w:multiLevelType w:val="hybridMultilevel"/>
    <w:tmpl w:val="2F682D7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2" w15:restartNumberingAfterBreak="0">
    <w:nsid w:val="6DE77EEB"/>
    <w:multiLevelType w:val="hybridMultilevel"/>
    <w:tmpl w:val="C3CE3A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3" w15:restartNumberingAfterBreak="0">
    <w:nsid w:val="773F750F"/>
    <w:multiLevelType w:val="hybridMultilevel"/>
    <w:tmpl w:val="271001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4" w15:restartNumberingAfterBreak="0">
    <w:nsid w:val="773F778A"/>
    <w:multiLevelType w:val="hybridMultilevel"/>
    <w:tmpl w:val="6AD03EF6"/>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55" w15:restartNumberingAfterBreak="0">
    <w:nsid w:val="776F3FD2"/>
    <w:multiLevelType w:val="multilevel"/>
    <w:tmpl w:val="B2F86676"/>
    <w:lvl w:ilvl="0">
      <w:start w:val="1"/>
      <w:numFmt w:val="decimal"/>
      <w:pStyle w:val="Heading1"/>
      <w:lvlText w:val="%1."/>
      <w:lvlJc w:val="left"/>
      <w:pPr>
        <w:ind w:left="360" w:hanging="360"/>
      </w:pPr>
      <w:rPr>
        <w:rFonts w:hint="default"/>
      </w:rPr>
    </w:lvl>
    <w:lvl w:ilvl="1">
      <w:start w:val="1"/>
      <w:numFmt w:val="decimal"/>
      <w:pStyle w:val="Subtitle"/>
      <w:lvlText w:val="%1.%2."/>
      <w:lvlJc w:val="left"/>
      <w:pPr>
        <w:ind w:left="1152" w:hanging="432"/>
      </w:pPr>
      <w:rPr>
        <w:rFonts w:hint="default"/>
      </w:rPr>
    </w:lvl>
    <w:lvl w:ilvl="2">
      <w:start w:val="1"/>
      <w:numFmt w:val="decimal"/>
      <w:lvlText w:val="%1.%2.%3."/>
      <w:lvlJc w:val="left"/>
      <w:pPr>
        <w:tabs>
          <w:tab w:val="num" w:pos="2074"/>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7A661F2"/>
    <w:multiLevelType w:val="hybridMultilevel"/>
    <w:tmpl w:val="A3F8FA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7" w15:restartNumberingAfterBreak="0">
    <w:nsid w:val="7A845D90"/>
    <w:multiLevelType w:val="hybridMultilevel"/>
    <w:tmpl w:val="6108F8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3"/>
  </w:num>
  <w:num w:numId="2">
    <w:abstractNumId w:val="3"/>
  </w:num>
  <w:num w:numId="3">
    <w:abstractNumId w:val="31"/>
  </w:num>
  <w:num w:numId="4">
    <w:abstractNumId w:val="55"/>
  </w:num>
  <w:num w:numId="5">
    <w:abstractNumId w:val="55"/>
  </w:num>
  <w:num w:numId="6">
    <w:abstractNumId w:val="35"/>
  </w:num>
  <w:num w:numId="7">
    <w:abstractNumId w:val="49"/>
  </w:num>
  <w:num w:numId="8">
    <w:abstractNumId w:val="15"/>
  </w:num>
  <w:num w:numId="9">
    <w:abstractNumId w:val="21"/>
  </w:num>
  <w:num w:numId="10">
    <w:abstractNumId w:val="20"/>
  </w:num>
  <w:num w:numId="11">
    <w:abstractNumId w:val="12"/>
  </w:num>
  <w:num w:numId="12">
    <w:abstractNumId w:val="48"/>
  </w:num>
  <w:num w:numId="13">
    <w:abstractNumId w:val="42"/>
  </w:num>
  <w:num w:numId="14">
    <w:abstractNumId w:val="19"/>
  </w:num>
  <w:num w:numId="15">
    <w:abstractNumId w:val="53"/>
  </w:num>
  <w:num w:numId="16">
    <w:abstractNumId w:val="36"/>
  </w:num>
  <w:num w:numId="17">
    <w:abstractNumId w:val="8"/>
  </w:num>
  <w:num w:numId="18">
    <w:abstractNumId w:val="52"/>
  </w:num>
  <w:num w:numId="19">
    <w:abstractNumId w:val="46"/>
  </w:num>
  <w:num w:numId="20">
    <w:abstractNumId w:val="56"/>
  </w:num>
  <w:num w:numId="21">
    <w:abstractNumId w:val="1"/>
  </w:num>
  <w:num w:numId="22">
    <w:abstractNumId w:val="30"/>
  </w:num>
  <w:num w:numId="23">
    <w:abstractNumId w:val="38"/>
  </w:num>
  <w:num w:numId="24">
    <w:abstractNumId w:val="0"/>
  </w:num>
  <w:num w:numId="25">
    <w:abstractNumId w:val="9"/>
  </w:num>
  <w:num w:numId="26">
    <w:abstractNumId w:val="17"/>
  </w:num>
  <w:num w:numId="27">
    <w:abstractNumId w:val="39"/>
  </w:num>
  <w:num w:numId="28">
    <w:abstractNumId w:val="13"/>
  </w:num>
  <w:num w:numId="29">
    <w:abstractNumId w:val="22"/>
  </w:num>
  <w:num w:numId="30">
    <w:abstractNumId w:val="44"/>
  </w:num>
  <w:num w:numId="31">
    <w:abstractNumId w:val="10"/>
  </w:num>
  <w:num w:numId="32">
    <w:abstractNumId w:val="45"/>
  </w:num>
  <w:num w:numId="33">
    <w:abstractNumId w:val="33"/>
  </w:num>
  <w:num w:numId="34">
    <w:abstractNumId w:val="47"/>
  </w:num>
  <w:num w:numId="35">
    <w:abstractNumId w:val="51"/>
  </w:num>
  <w:num w:numId="36">
    <w:abstractNumId w:val="11"/>
  </w:num>
  <w:num w:numId="37">
    <w:abstractNumId w:val="24"/>
  </w:num>
  <w:num w:numId="38">
    <w:abstractNumId w:val="54"/>
  </w:num>
  <w:num w:numId="39">
    <w:abstractNumId w:val="6"/>
  </w:num>
  <w:num w:numId="40">
    <w:abstractNumId w:val="4"/>
  </w:num>
  <w:num w:numId="41">
    <w:abstractNumId w:val="26"/>
  </w:num>
  <w:num w:numId="42">
    <w:abstractNumId w:val="55"/>
  </w:num>
  <w:num w:numId="43">
    <w:abstractNumId w:val="55"/>
  </w:num>
  <w:num w:numId="44">
    <w:abstractNumId w:val="55"/>
  </w:num>
  <w:num w:numId="45">
    <w:abstractNumId w:val="55"/>
  </w:num>
  <w:num w:numId="46">
    <w:abstractNumId w:val="55"/>
  </w:num>
  <w:num w:numId="47">
    <w:abstractNumId w:val="55"/>
  </w:num>
  <w:num w:numId="48">
    <w:abstractNumId w:val="55"/>
  </w:num>
  <w:num w:numId="49">
    <w:abstractNumId w:val="55"/>
  </w:num>
  <w:num w:numId="50">
    <w:abstractNumId w:val="55"/>
  </w:num>
  <w:num w:numId="51">
    <w:abstractNumId w:val="55"/>
  </w:num>
  <w:num w:numId="52">
    <w:abstractNumId w:val="55"/>
  </w:num>
  <w:num w:numId="53">
    <w:abstractNumId w:val="55"/>
  </w:num>
  <w:num w:numId="54">
    <w:abstractNumId w:val="55"/>
  </w:num>
  <w:num w:numId="55">
    <w:abstractNumId w:val="55"/>
  </w:num>
  <w:num w:numId="56">
    <w:abstractNumId w:val="55"/>
  </w:num>
  <w:num w:numId="57">
    <w:abstractNumId w:val="55"/>
  </w:num>
  <w:num w:numId="58">
    <w:abstractNumId w:val="55"/>
  </w:num>
  <w:num w:numId="59">
    <w:abstractNumId w:val="37"/>
  </w:num>
  <w:num w:numId="60">
    <w:abstractNumId w:val="43"/>
  </w:num>
  <w:num w:numId="61">
    <w:abstractNumId w:val="5"/>
  </w:num>
  <w:num w:numId="62">
    <w:abstractNumId w:val="57"/>
  </w:num>
  <w:num w:numId="63">
    <w:abstractNumId w:val="27"/>
  </w:num>
  <w:num w:numId="64">
    <w:abstractNumId w:val="7"/>
  </w:num>
  <w:num w:numId="65">
    <w:abstractNumId w:val="40"/>
  </w:num>
  <w:num w:numId="66">
    <w:abstractNumId w:val="50"/>
  </w:num>
  <w:num w:numId="67">
    <w:abstractNumId w:val="41"/>
  </w:num>
  <w:num w:numId="68">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num>
  <w:num w:numId="70">
    <w:abstractNumId w:val="29"/>
  </w:num>
  <w:num w:numId="71">
    <w:abstractNumId w:val="32"/>
  </w:num>
  <w:num w:numId="72">
    <w:abstractNumId w:val="16"/>
  </w:num>
  <w:num w:numId="73">
    <w:abstractNumId w:val="2"/>
  </w:num>
  <w:num w:numId="74">
    <w:abstractNumId w:val="14"/>
  </w:num>
  <w:num w:numId="75">
    <w:abstractNumId w:val="18"/>
  </w:num>
  <w:num w:numId="76">
    <w:abstractNumId w:val="55"/>
  </w:num>
  <w:num w:numId="77">
    <w:abstractNumId w:val="55"/>
  </w:num>
  <w:num w:numId="78">
    <w:abstractNumId w:val="55"/>
  </w:num>
  <w:num w:numId="79">
    <w:abstractNumId w:val="25"/>
  </w:num>
  <w:num w:numId="80">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53"/>
    <w:rsid w:val="000004DF"/>
    <w:rsid w:val="000040B5"/>
    <w:rsid w:val="00006667"/>
    <w:rsid w:val="00006E75"/>
    <w:rsid w:val="0001192D"/>
    <w:rsid w:val="0001361B"/>
    <w:rsid w:val="00013D0A"/>
    <w:rsid w:val="00013D0E"/>
    <w:rsid w:val="00015D42"/>
    <w:rsid w:val="000165FC"/>
    <w:rsid w:val="0001717B"/>
    <w:rsid w:val="00020004"/>
    <w:rsid w:val="00020129"/>
    <w:rsid w:val="0002129A"/>
    <w:rsid w:val="00021DF2"/>
    <w:rsid w:val="00025192"/>
    <w:rsid w:val="00027F7B"/>
    <w:rsid w:val="0003080A"/>
    <w:rsid w:val="000318AE"/>
    <w:rsid w:val="0003221D"/>
    <w:rsid w:val="000359FD"/>
    <w:rsid w:val="00035E76"/>
    <w:rsid w:val="00037324"/>
    <w:rsid w:val="00040456"/>
    <w:rsid w:val="00040B3C"/>
    <w:rsid w:val="0004216D"/>
    <w:rsid w:val="00042210"/>
    <w:rsid w:val="000428B2"/>
    <w:rsid w:val="00043F12"/>
    <w:rsid w:val="0004570E"/>
    <w:rsid w:val="00045F10"/>
    <w:rsid w:val="00046235"/>
    <w:rsid w:val="000467DB"/>
    <w:rsid w:val="00047BAD"/>
    <w:rsid w:val="00047EC2"/>
    <w:rsid w:val="00051757"/>
    <w:rsid w:val="00052298"/>
    <w:rsid w:val="0005282E"/>
    <w:rsid w:val="00054368"/>
    <w:rsid w:val="000559D2"/>
    <w:rsid w:val="00055BF2"/>
    <w:rsid w:val="000565BF"/>
    <w:rsid w:val="00060F34"/>
    <w:rsid w:val="00063C54"/>
    <w:rsid w:val="00063E5F"/>
    <w:rsid w:val="0006412B"/>
    <w:rsid w:val="00064546"/>
    <w:rsid w:val="0006580E"/>
    <w:rsid w:val="00072B03"/>
    <w:rsid w:val="00073887"/>
    <w:rsid w:val="00074354"/>
    <w:rsid w:val="0007467B"/>
    <w:rsid w:val="0007538C"/>
    <w:rsid w:val="00075E1C"/>
    <w:rsid w:val="000801CF"/>
    <w:rsid w:val="000821A6"/>
    <w:rsid w:val="000829BD"/>
    <w:rsid w:val="00082BDE"/>
    <w:rsid w:val="00084298"/>
    <w:rsid w:val="000852AD"/>
    <w:rsid w:val="00086E15"/>
    <w:rsid w:val="000907BB"/>
    <w:rsid w:val="00090DA0"/>
    <w:rsid w:val="000918A7"/>
    <w:rsid w:val="00091D06"/>
    <w:rsid w:val="000946FC"/>
    <w:rsid w:val="0009540E"/>
    <w:rsid w:val="000A20DD"/>
    <w:rsid w:val="000A336B"/>
    <w:rsid w:val="000A59F1"/>
    <w:rsid w:val="000B003F"/>
    <w:rsid w:val="000B0788"/>
    <w:rsid w:val="000B4521"/>
    <w:rsid w:val="000B550F"/>
    <w:rsid w:val="000B6475"/>
    <w:rsid w:val="000B7880"/>
    <w:rsid w:val="000C0B64"/>
    <w:rsid w:val="000C139A"/>
    <w:rsid w:val="000C1806"/>
    <w:rsid w:val="000C19CD"/>
    <w:rsid w:val="000C29AF"/>
    <w:rsid w:val="000C314D"/>
    <w:rsid w:val="000C4117"/>
    <w:rsid w:val="000C574D"/>
    <w:rsid w:val="000C6BCF"/>
    <w:rsid w:val="000D05B5"/>
    <w:rsid w:val="000D10B7"/>
    <w:rsid w:val="000D2146"/>
    <w:rsid w:val="000D32B9"/>
    <w:rsid w:val="000D58AF"/>
    <w:rsid w:val="000D5E81"/>
    <w:rsid w:val="000D690A"/>
    <w:rsid w:val="000D6B43"/>
    <w:rsid w:val="000D6BB4"/>
    <w:rsid w:val="000D7101"/>
    <w:rsid w:val="000D7FAE"/>
    <w:rsid w:val="000E0866"/>
    <w:rsid w:val="000E0DB2"/>
    <w:rsid w:val="000E2B94"/>
    <w:rsid w:val="000E42DE"/>
    <w:rsid w:val="000E513E"/>
    <w:rsid w:val="000E6ACD"/>
    <w:rsid w:val="000E6B41"/>
    <w:rsid w:val="000E742B"/>
    <w:rsid w:val="000F0385"/>
    <w:rsid w:val="000F04A1"/>
    <w:rsid w:val="000F1935"/>
    <w:rsid w:val="000F2DC5"/>
    <w:rsid w:val="000F4F0A"/>
    <w:rsid w:val="000F62A2"/>
    <w:rsid w:val="000F7200"/>
    <w:rsid w:val="00100312"/>
    <w:rsid w:val="00102022"/>
    <w:rsid w:val="0010515F"/>
    <w:rsid w:val="00107A47"/>
    <w:rsid w:val="00110AF1"/>
    <w:rsid w:val="0011179B"/>
    <w:rsid w:val="00111CE9"/>
    <w:rsid w:val="0011371E"/>
    <w:rsid w:val="00113C0D"/>
    <w:rsid w:val="0011450C"/>
    <w:rsid w:val="00115238"/>
    <w:rsid w:val="00115391"/>
    <w:rsid w:val="00115C77"/>
    <w:rsid w:val="001164DA"/>
    <w:rsid w:val="00116BBF"/>
    <w:rsid w:val="00117FE9"/>
    <w:rsid w:val="00120EE9"/>
    <w:rsid w:val="00121AA3"/>
    <w:rsid w:val="0012401D"/>
    <w:rsid w:val="001251D4"/>
    <w:rsid w:val="00126045"/>
    <w:rsid w:val="00126135"/>
    <w:rsid w:val="00126F87"/>
    <w:rsid w:val="001279D7"/>
    <w:rsid w:val="00130317"/>
    <w:rsid w:val="0013459B"/>
    <w:rsid w:val="0013541C"/>
    <w:rsid w:val="00136AEC"/>
    <w:rsid w:val="00137832"/>
    <w:rsid w:val="00140AA3"/>
    <w:rsid w:val="001434E5"/>
    <w:rsid w:val="00143AAA"/>
    <w:rsid w:val="001505FE"/>
    <w:rsid w:val="00151DAD"/>
    <w:rsid w:val="00152E8D"/>
    <w:rsid w:val="0015379D"/>
    <w:rsid w:val="0015400C"/>
    <w:rsid w:val="00155D9C"/>
    <w:rsid w:val="00156629"/>
    <w:rsid w:val="001600EA"/>
    <w:rsid w:val="001606F9"/>
    <w:rsid w:val="00161682"/>
    <w:rsid w:val="00162CC9"/>
    <w:rsid w:val="00163B8E"/>
    <w:rsid w:val="00163FBC"/>
    <w:rsid w:val="00166FB4"/>
    <w:rsid w:val="00171C56"/>
    <w:rsid w:val="00172EFE"/>
    <w:rsid w:val="00172F86"/>
    <w:rsid w:val="0017497B"/>
    <w:rsid w:val="001750D2"/>
    <w:rsid w:val="001770C4"/>
    <w:rsid w:val="00181587"/>
    <w:rsid w:val="001824DA"/>
    <w:rsid w:val="0018253E"/>
    <w:rsid w:val="00183112"/>
    <w:rsid w:val="0018363F"/>
    <w:rsid w:val="00183ADC"/>
    <w:rsid w:val="00183F44"/>
    <w:rsid w:val="001860E0"/>
    <w:rsid w:val="001877DF"/>
    <w:rsid w:val="00187C0E"/>
    <w:rsid w:val="001911DB"/>
    <w:rsid w:val="00191618"/>
    <w:rsid w:val="00192971"/>
    <w:rsid w:val="00195745"/>
    <w:rsid w:val="0019757B"/>
    <w:rsid w:val="001976DA"/>
    <w:rsid w:val="001A0A02"/>
    <w:rsid w:val="001A0B02"/>
    <w:rsid w:val="001A54BC"/>
    <w:rsid w:val="001A5AA4"/>
    <w:rsid w:val="001A5F62"/>
    <w:rsid w:val="001A6113"/>
    <w:rsid w:val="001A6CF5"/>
    <w:rsid w:val="001B178E"/>
    <w:rsid w:val="001B1E7A"/>
    <w:rsid w:val="001B3DE5"/>
    <w:rsid w:val="001B4843"/>
    <w:rsid w:val="001B543E"/>
    <w:rsid w:val="001B594C"/>
    <w:rsid w:val="001C17F7"/>
    <w:rsid w:val="001C4D95"/>
    <w:rsid w:val="001C568E"/>
    <w:rsid w:val="001D383C"/>
    <w:rsid w:val="001D4AAF"/>
    <w:rsid w:val="001D50A8"/>
    <w:rsid w:val="001D5FC8"/>
    <w:rsid w:val="001D635E"/>
    <w:rsid w:val="001D6DFC"/>
    <w:rsid w:val="001D6F72"/>
    <w:rsid w:val="001D7A77"/>
    <w:rsid w:val="001E1623"/>
    <w:rsid w:val="001E31A0"/>
    <w:rsid w:val="001E3FA8"/>
    <w:rsid w:val="001E423B"/>
    <w:rsid w:val="001E635A"/>
    <w:rsid w:val="001E7442"/>
    <w:rsid w:val="001F09D6"/>
    <w:rsid w:val="001F1CA2"/>
    <w:rsid w:val="001F311D"/>
    <w:rsid w:val="001F4661"/>
    <w:rsid w:val="001F7177"/>
    <w:rsid w:val="001F78F0"/>
    <w:rsid w:val="002033AC"/>
    <w:rsid w:val="0020378B"/>
    <w:rsid w:val="00210B7A"/>
    <w:rsid w:val="00210E49"/>
    <w:rsid w:val="00211102"/>
    <w:rsid w:val="00212015"/>
    <w:rsid w:val="002134AA"/>
    <w:rsid w:val="00214F8C"/>
    <w:rsid w:val="00215075"/>
    <w:rsid w:val="0021636D"/>
    <w:rsid w:val="00216F04"/>
    <w:rsid w:val="00221332"/>
    <w:rsid w:val="002214E6"/>
    <w:rsid w:val="00221AE4"/>
    <w:rsid w:val="002226EF"/>
    <w:rsid w:val="0022384A"/>
    <w:rsid w:val="00223C33"/>
    <w:rsid w:val="00224E67"/>
    <w:rsid w:val="00225F34"/>
    <w:rsid w:val="00226EFA"/>
    <w:rsid w:val="00226F75"/>
    <w:rsid w:val="00227A85"/>
    <w:rsid w:val="00230633"/>
    <w:rsid w:val="002308DE"/>
    <w:rsid w:val="00231A32"/>
    <w:rsid w:val="00232FE0"/>
    <w:rsid w:val="00235D57"/>
    <w:rsid w:val="002366B9"/>
    <w:rsid w:val="00240284"/>
    <w:rsid w:val="00240310"/>
    <w:rsid w:val="002403FC"/>
    <w:rsid w:val="00240D79"/>
    <w:rsid w:val="00241185"/>
    <w:rsid w:val="00243445"/>
    <w:rsid w:val="00245781"/>
    <w:rsid w:val="002512F6"/>
    <w:rsid w:val="00251B87"/>
    <w:rsid w:val="00252C5A"/>
    <w:rsid w:val="00253E17"/>
    <w:rsid w:val="00254250"/>
    <w:rsid w:val="0025472E"/>
    <w:rsid w:val="002579AD"/>
    <w:rsid w:val="002608C3"/>
    <w:rsid w:val="00262464"/>
    <w:rsid w:val="00262BDF"/>
    <w:rsid w:val="00264C43"/>
    <w:rsid w:val="00267C0D"/>
    <w:rsid w:val="00273F1B"/>
    <w:rsid w:val="00275786"/>
    <w:rsid w:val="00276C6C"/>
    <w:rsid w:val="00277543"/>
    <w:rsid w:val="00281056"/>
    <w:rsid w:val="002819DE"/>
    <w:rsid w:val="00283525"/>
    <w:rsid w:val="002837EA"/>
    <w:rsid w:val="00283C82"/>
    <w:rsid w:val="00284F90"/>
    <w:rsid w:val="002853AD"/>
    <w:rsid w:val="00290F89"/>
    <w:rsid w:val="00291F7F"/>
    <w:rsid w:val="0029511E"/>
    <w:rsid w:val="0029635F"/>
    <w:rsid w:val="00296B6A"/>
    <w:rsid w:val="00296F1A"/>
    <w:rsid w:val="002973B9"/>
    <w:rsid w:val="002A0665"/>
    <w:rsid w:val="002A0849"/>
    <w:rsid w:val="002A0958"/>
    <w:rsid w:val="002A1B27"/>
    <w:rsid w:val="002A303D"/>
    <w:rsid w:val="002A48C9"/>
    <w:rsid w:val="002A53D5"/>
    <w:rsid w:val="002A59BF"/>
    <w:rsid w:val="002A5F6F"/>
    <w:rsid w:val="002A61DC"/>
    <w:rsid w:val="002A6342"/>
    <w:rsid w:val="002A690C"/>
    <w:rsid w:val="002B0AAC"/>
    <w:rsid w:val="002B1332"/>
    <w:rsid w:val="002B21F5"/>
    <w:rsid w:val="002B2538"/>
    <w:rsid w:val="002B2B97"/>
    <w:rsid w:val="002B44FD"/>
    <w:rsid w:val="002B5629"/>
    <w:rsid w:val="002B725B"/>
    <w:rsid w:val="002C097B"/>
    <w:rsid w:val="002C1349"/>
    <w:rsid w:val="002C13AB"/>
    <w:rsid w:val="002C22CB"/>
    <w:rsid w:val="002C26EA"/>
    <w:rsid w:val="002C2C81"/>
    <w:rsid w:val="002C37FF"/>
    <w:rsid w:val="002C4D1F"/>
    <w:rsid w:val="002C5BD6"/>
    <w:rsid w:val="002C6953"/>
    <w:rsid w:val="002C703B"/>
    <w:rsid w:val="002C7080"/>
    <w:rsid w:val="002D18FC"/>
    <w:rsid w:val="002D29EC"/>
    <w:rsid w:val="002D2B4E"/>
    <w:rsid w:val="002D3A53"/>
    <w:rsid w:val="002D3AFE"/>
    <w:rsid w:val="002D3B39"/>
    <w:rsid w:val="002D5497"/>
    <w:rsid w:val="002D6045"/>
    <w:rsid w:val="002E232C"/>
    <w:rsid w:val="002E3792"/>
    <w:rsid w:val="002E4BD0"/>
    <w:rsid w:val="002E5D39"/>
    <w:rsid w:val="002F0D69"/>
    <w:rsid w:val="002F35C1"/>
    <w:rsid w:val="002F43D6"/>
    <w:rsid w:val="002F6A91"/>
    <w:rsid w:val="00301058"/>
    <w:rsid w:val="00301804"/>
    <w:rsid w:val="00302425"/>
    <w:rsid w:val="003041B6"/>
    <w:rsid w:val="003069C8"/>
    <w:rsid w:val="00310F30"/>
    <w:rsid w:val="00310F7C"/>
    <w:rsid w:val="00311092"/>
    <w:rsid w:val="003139BE"/>
    <w:rsid w:val="00313A1D"/>
    <w:rsid w:val="003148FA"/>
    <w:rsid w:val="0032086A"/>
    <w:rsid w:val="00320FC4"/>
    <w:rsid w:val="00321339"/>
    <w:rsid w:val="00332F7D"/>
    <w:rsid w:val="00333C91"/>
    <w:rsid w:val="003361B0"/>
    <w:rsid w:val="00336244"/>
    <w:rsid w:val="003363D3"/>
    <w:rsid w:val="003402A9"/>
    <w:rsid w:val="003429DB"/>
    <w:rsid w:val="00343555"/>
    <w:rsid w:val="00343558"/>
    <w:rsid w:val="003438E9"/>
    <w:rsid w:val="00344E05"/>
    <w:rsid w:val="0034537F"/>
    <w:rsid w:val="00345398"/>
    <w:rsid w:val="00350C5B"/>
    <w:rsid w:val="00350DB7"/>
    <w:rsid w:val="00350EBD"/>
    <w:rsid w:val="0035155F"/>
    <w:rsid w:val="00351EB4"/>
    <w:rsid w:val="003530C4"/>
    <w:rsid w:val="00353340"/>
    <w:rsid w:val="003535D2"/>
    <w:rsid w:val="00354EC5"/>
    <w:rsid w:val="00355B9E"/>
    <w:rsid w:val="00356651"/>
    <w:rsid w:val="00360219"/>
    <w:rsid w:val="00360D78"/>
    <w:rsid w:val="00361F5B"/>
    <w:rsid w:val="00362BC6"/>
    <w:rsid w:val="00365952"/>
    <w:rsid w:val="003665CD"/>
    <w:rsid w:val="00367162"/>
    <w:rsid w:val="003700CC"/>
    <w:rsid w:val="00370E54"/>
    <w:rsid w:val="00372EFF"/>
    <w:rsid w:val="00374EBC"/>
    <w:rsid w:val="00375229"/>
    <w:rsid w:val="00376421"/>
    <w:rsid w:val="00376CEE"/>
    <w:rsid w:val="00376F03"/>
    <w:rsid w:val="003778C5"/>
    <w:rsid w:val="003815C1"/>
    <w:rsid w:val="003829B1"/>
    <w:rsid w:val="00384DB9"/>
    <w:rsid w:val="00386C57"/>
    <w:rsid w:val="003875B9"/>
    <w:rsid w:val="00387AAD"/>
    <w:rsid w:val="003907C0"/>
    <w:rsid w:val="0039182E"/>
    <w:rsid w:val="00392A80"/>
    <w:rsid w:val="0039610B"/>
    <w:rsid w:val="00396180"/>
    <w:rsid w:val="00397A2A"/>
    <w:rsid w:val="003A0E2C"/>
    <w:rsid w:val="003A1182"/>
    <w:rsid w:val="003A11F1"/>
    <w:rsid w:val="003A1380"/>
    <w:rsid w:val="003A1A42"/>
    <w:rsid w:val="003A20B0"/>
    <w:rsid w:val="003A246F"/>
    <w:rsid w:val="003A386E"/>
    <w:rsid w:val="003A3A4B"/>
    <w:rsid w:val="003A4B56"/>
    <w:rsid w:val="003A4BA4"/>
    <w:rsid w:val="003A6AF7"/>
    <w:rsid w:val="003B0888"/>
    <w:rsid w:val="003B2812"/>
    <w:rsid w:val="003B3A4C"/>
    <w:rsid w:val="003B6A27"/>
    <w:rsid w:val="003C08E7"/>
    <w:rsid w:val="003C0DA7"/>
    <w:rsid w:val="003C0FDC"/>
    <w:rsid w:val="003C194A"/>
    <w:rsid w:val="003C23CD"/>
    <w:rsid w:val="003C2FB4"/>
    <w:rsid w:val="003C371E"/>
    <w:rsid w:val="003C3CA5"/>
    <w:rsid w:val="003C4931"/>
    <w:rsid w:val="003C4990"/>
    <w:rsid w:val="003C4E54"/>
    <w:rsid w:val="003C4F3D"/>
    <w:rsid w:val="003C6D59"/>
    <w:rsid w:val="003C6E28"/>
    <w:rsid w:val="003C73AF"/>
    <w:rsid w:val="003D0D5C"/>
    <w:rsid w:val="003D331A"/>
    <w:rsid w:val="003D35CD"/>
    <w:rsid w:val="003D4C82"/>
    <w:rsid w:val="003D5C08"/>
    <w:rsid w:val="003D6175"/>
    <w:rsid w:val="003D7DA5"/>
    <w:rsid w:val="003E0974"/>
    <w:rsid w:val="003E1142"/>
    <w:rsid w:val="003E25B5"/>
    <w:rsid w:val="003E3647"/>
    <w:rsid w:val="003E3776"/>
    <w:rsid w:val="003E4DBD"/>
    <w:rsid w:val="003E7F34"/>
    <w:rsid w:val="003F0582"/>
    <w:rsid w:val="003F09C2"/>
    <w:rsid w:val="003F43D4"/>
    <w:rsid w:val="003F4F1D"/>
    <w:rsid w:val="003F6037"/>
    <w:rsid w:val="003F66B4"/>
    <w:rsid w:val="003F718E"/>
    <w:rsid w:val="003F75A0"/>
    <w:rsid w:val="00400691"/>
    <w:rsid w:val="00402EE8"/>
    <w:rsid w:val="00404158"/>
    <w:rsid w:val="004067D2"/>
    <w:rsid w:val="004070D8"/>
    <w:rsid w:val="00412488"/>
    <w:rsid w:val="00413AFC"/>
    <w:rsid w:val="00414CD2"/>
    <w:rsid w:val="00414D4B"/>
    <w:rsid w:val="00420228"/>
    <w:rsid w:val="00422CD0"/>
    <w:rsid w:val="00423F54"/>
    <w:rsid w:val="00424ACF"/>
    <w:rsid w:val="00426143"/>
    <w:rsid w:val="004267DF"/>
    <w:rsid w:val="00426C88"/>
    <w:rsid w:val="00426C93"/>
    <w:rsid w:val="004270EA"/>
    <w:rsid w:val="004275F9"/>
    <w:rsid w:val="0042764F"/>
    <w:rsid w:val="00431F89"/>
    <w:rsid w:val="0043244A"/>
    <w:rsid w:val="00434873"/>
    <w:rsid w:val="00434D25"/>
    <w:rsid w:val="00436777"/>
    <w:rsid w:val="0044027E"/>
    <w:rsid w:val="00440DD8"/>
    <w:rsid w:val="00441B2A"/>
    <w:rsid w:val="00441EC0"/>
    <w:rsid w:val="00442E80"/>
    <w:rsid w:val="004433E6"/>
    <w:rsid w:val="00444186"/>
    <w:rsid w:val="00444F57"/>
    <w:rsid w:val="00445522"/>
    <w:rsid w:val="00446132"/>
    <w:rsid w:val="00446678"/>
    <w:rsid w:val="004475D5"/>
    <w:rsid w:val="00447977"/>
    <w:rsid w:val="0045076E"/>
    <w:rsid w:val="00451B7B"/>
    <w:rsid w:val="004528AB"/>
    <w:rsid w:val="0045350E"/>
    <w:rsid w:val="004558CD"/>
    <w:rsid w:val="00457061"/>
    <w:rsid w:val="00463A2E"/>
    <w:rsid w:val="00463C12"/>
    <w:rsid w:val="00464499"/>
    <w:rsid w:val="004658DB"/>
    <w:rsid w:val="004662BC"/>
    <w:rsid w:val="004724B9"/>
    <w:rsid w:val="00473FF3"/>
    <w:rsid w:val="00474B0A"/>
    <w:rsid w:val="004752D4"/>
    <w:rsid w:val="00475622"/>
    <w:rsid w:val="004817FA"/>
    <w:rsid w:val="00481AFA"/>
    <w:rsid w:val="00482318"/>
    <w:rsid w:val="004828AF"/>
    <w:rsid w:val="00482919"/>
    <w:rsid w:val="00482F11"/>
    <w:rsid w:val="0048308A"/>
    <w:rsid w:val="00483876"/>
    <w:rsid w:val="004844DD"/>
    <w:rsid w:val="00484E53"/>
    <w:rsid w:val="00485418"/>
    <w:rsid w:val="00485588"/>
    <w:rsid w:val="00485A9A"/>
    <w:rsid w:val="00485BA1"/>
    <w:rsid w:val="004863E0"/>
    <w:rsid w:val="00486CAF"/>
    <w:rsid w:val="0049049A"/>
    <w:rsid w:val="0049050A"/>
    <w:rsid w:val="00492845"/>
    <w:rsid w:val="00492B93"/>
    <w:rsid w:val="0049353E"/>
    <w:rsid w:val="00494A91"/>
    <w:rsid w:val="00494C36"/>
    <w:rsid w:val="00495694"/>
    <w:rsid w:val="00495993"/>
    <w:rsid w:val="00497DB7"/>
    <w:rsid w:val="004A2980"/>
    <w:rsid w:val="004A489B"/>
    <w:rsid w:val="004A6320"/>
    <w:rsid w:val="004A7D88"/>
    <w:rsid w:val="004B0707"/>
    <w:rsid w:val="004B3683"/>
    <w:rsid w:val="004B378C"/>
    <w:rsid w:val="004B3D6F"/>
    <w:rsid w:val="004B6683"/>
    <w:rsid w:val="004C20AB"/>
    <w:rsid w:val="004C22F9"/>
    <w:rsid w:val="004C369C"/>
    <w:rsid w:val="004C6219"/>
    <w:rsid w:val="004D26BE"/>
    <w:rsid w:val="004D2A37"/>
    <w:rsid w:val="004E10DD"/>
    <w:rsid w:val="004E14A6"/>
    <w:rsid w:val="004E3F5E"/>
    <w:rsid w:val="004E465D"/>
    <w:rsid w:val="004E4822"/>
    <w:rsid w:val="004E4A5B"/>
    <w:rsid w:val="004E50FD"/>
    <w:rsid w:val="004E57E4"/>
    <w:rsid w:val="004E5AE2"/>
    <w:rsid w:val="004F0FEE"/>
    <w:rsid w:val="004F14CE"/>
    <w:rsid w:val="004F21F7"/>
    <w:rsid w:val="004F24DD"/>
    <w:rsid w:val="004F25C0"/>
    <w:rsid w:val="004F5E48"/>
    <w:rsid w:val="004F660A"/>
    <w:rsid w:val="004F7A43"/>
    <w:rsid w:val="00500176"/>
    <w:rsid w:val="005009E2"/>
    <w:rsid w:val="00501804"/>
    <w:rsid w:val="0050262E"/>
    <w:rsid w:val="00505896"/>
    <w:rsid w:val="00505F97"/>
    <w:rsid w:val="005074F7"/>
    <w:rsid w:val="00512740"/>
    <w:rsid w:val="00512F03"/>
    <w:rsid w:val="00513F9B"/>
    <w:rsid w:val="00514731"/>
    <w:rsid w:val="005149E2"/>
    <w:rsid w:val="005150EC"/>
    <w:rsid w:val="0051633F"/>
    <w:rsid w:val="00516BB5"/>
    <w:rsid w:val="005173E8"/>
    <w:rsid w:val="00517FF6"/>
    <w:rsid w:val="005207FE"/>
    <w:rsid w:val="0052148A"/>
    <w:rsid w:val="00527A60"/>
    <w:rsid w:val="00530950"/>
    <w:rsid w:val="005314D8"/>
    <w:rsid w:val="005316C7"/>
    <w:rsid w:val="0053202C"/>
    <w:rsid w:val="00532987"/>
    <w:rsid w:val="00532A5D"/>
    <w:rsid w:val="00533153"/>
    <w:rsid w:val="005356F9"/>
    <w:rsid w:val="0053674C"/>
    <w:rsid w:val="00540DEB"/>
    <w:rsid w:val="0054104D"/>
    <w:rsid w:val="005429B3"/>
    <w:rsid w:val="0054401B"/>
    <w:rsid w:val="005455B1"/>
    <w:rsid w:val="00545712"/>
    <w:rsid w:val="005473E2"/>
    <w:rsid w:val="00547840"/>
    <w:rsid w:val="00550260"/>
    <w:rsid w:val="0055111D"/>
    <w:rsid w:val="0055154D"/>
    <w:rsid w:val="005527C1"/>
    <w:rsid w:val="00552B80"/>
    <w:rsid w:val="00556E59"/>
    <w:rsid w:val="00557B7C"/>
    <w:rsid w:val="00560091"/>
    <w:rsid w:val="00560983"/>
    <w:rsid w:val="005626BB"/>
    <w:rsid w:val="00562F71"/>
    <w:rsid w:val="005635E6"/>
    <w:rsid w:val="00563908"/>
    <w:rsid w:val="00565C35"/>
    <w:rsid w:val="005666CC"/>
    <w:rsid w:val="00567AB4"/>
    <w:rsid w:val="00570A04"/>
    <w:rsid w:val="00570CF4"/>
    <w:rsid w:val="00571B6E"/>
    <w:rsid w:val="0057492A"/>
    <w:rsid w:val="00574FE9"/>
    <w:rsid w:val="00575C6F"/>
    <w:rsid w:val="00577EFE"/>
    <w:rsid w:val="005806B0"/>
    <w:rsid w:val="00580B95"/>
    <w:rsid w:val="00580BC5"/>
    <w:rsid w:val="00580C43"/>
    <w:rsid w:val="005812F3"/>
    <w:rsid w:val="0058227D"/>
    <w:rsid w:val="00582B8A"/>
    <w:rsid w:val="00582FB9"/>
    <w:rsid w:val="005847B1"/>
    <w:rsid w:val="00586FF2"/>
    <w:rsid w:val="00590734"/>
    <w:rsid w:val="0059074D"/>
    <w:rsid w:val="0059088F"/>
    <w:rsid w:val="0059163B"/>
    <w:rsid w:val="00596101"/>
    <w:rsid w:val="00597C64"/>
    <w:rsid w:val="005A084D"/>
    <w:rsid w:val="005A0CAC"/>
    <w:rsid w:val="005A1528"/>
    <w:rsid w:val="005A1879"/>
    <w:rsid w:val="005A3801"/>
    <w:rsid w:val="005A399B"/>
    <w:rsid w:val="005A44F3"/>
    <w:rsid w:val="005A67CA"/>
    <w:rsid w:val="005A6BF8"/>
    <w:rsid w:val="005A71EF"/>
    <w:rsid w:val="005B0774"/>
    <w:rsid w:val="005B0B42"/>
    <w:rsid w:val="005B4F4E"/>
    <w:rsid w:val="005B7153"/>
    <w:rsid w:val="005B758B"/>
    <w:rsid w:val="005C0939"/>
    <w:rsid w:val="005C10F1"/>
    <w:rsid w:val="005C43A6"/>
    <w:rsid w:val="005D1E9F"/>
    <w:rsid w:val="005D317B"/>
    <w:rsid w:val="005D3656"/>
    <w:rsid w:val="005D51F8"/>
    <w:rsid w:val="005D53CC"/>
    <w:rsid w:val="005D5D16"/>
    <w:rsid w:val="005D6F72"/>
    <w:rsid w:val="005E2385"/>
    <w:rsid w:val="005E3E2F"/>
    <w:rsid w:val="005E4AD3"/>
    <w:rsid w:val="005E51C4"/>
    <w:rsid w:val="005E5844"/>
    <w:rsid w:val="005E648E"/>
    <w:rsid w:val="005E7647"/>
    <w:rsid w:val="005E779A"/>
    <w:rsid w:val="005E7A58"/>
    <w:rsid w:val="005F1778"/>
    <w:rsid w:val="005F1C27"/>
    <w:rsid w:val="005F254E"/>
    <w:rsid w:val="005F48B3"/>
    <w:rsid w:val="005F5524"/>
    <w:rsid w:val="005F72D6"/>
    <w:rsid w:val="00600C65"/>
    <w:rsid w:val="00600F14"/>
    <w:rsid w:val="00601BD4"/>
    <w:rsid w:val="00601ECE"/>
    <w:rsid w:val="00602AA7"/>
    <w:rsid w:val="0060381B"/>
    <w:rsid w:val="00604416"/>
    <w:rsid w:val="00606E8E"/>
    <w:rsid w:val="00607BEF"/>
    <w:rsid w:val="00610687"/>
    <w:rsid w:val="0061204E"/>
    <w:rsid w:val="00612372"/>
    <w:rsid w:val="00612EB2"/>
    <w:rsid w:val="006138F5"/>
    <w:rsid w:val="0061541A"/>
    <w:rsid w:val="006156DE"/>
    <w:rsid w:val="00615911"/>
    <w:rsid w:val="0061742A"/>
    <w:rsid w:val="00617617"/>
    <w:rsid w:val="00622ED7"/>
    <w:rsid w:val="00623001"/>
    <w:rsid w:val="006230F3"/>
    <w:rsid w:val="00623BFB"/>
    <w:rsid w:val="00623E72"/>
    <w:rsid w:val="0062483E"/>
    <w:rsid w:val="00626A4A"/>
    <w:rsid w:val="00627299"/>
    <w:rsid w:val="006317C1"/>
    <w:rsid w:val="00631F1D"/>
    <w:rsid w:val="0063274F"/>
    <w:rsid w:val="00633749"/>
    <w:rsid w:val="00635F1A"/>
    <w:rsid w:val="0063664C"/>
    <w:rsid w:val="00637CA0"/>
    <w:rsid w:val="00643069"/>
    <w:rsid w:val="00643A0B"/>
    <w:rsid w:val="00650F8E"/>
    <w:rsid w:val="00651C30"/>
    <w:rsid w:val="0065205C"/>
    <w:rsid w:val="00652CF1"/>
    <w:rsid w:val="00652F2A"/>
    <w:rsid w:val="0065345D"/>
    <w:rsid w:val="00654688"/>
    <w:rsid w:val="00655461"/>
    <w:rsid w:val="00657A5D"/>
    <w:rsid w:val="00657E34"/>
    <w:rsid w:val="00657E38"/>
    <w:rsid w:val="00660809"/>
    <w:rsid w:val="0066549E"/>
    <w:rsid w:val="00666147"/>
    <w:rsid w:val="00667796"/>
    <w:rsid w:val="00671A15"/>
    <w:rsid w:val="00673F5B"/>
    <w:rsid w:val="0067474C"/>
    <w:rsid w:val="00681169"/>
    <w:rsid w:val="0068116B"/>
    <w:rsid w:val="0068142E"/>
    <w:rsid w:val="00682528"/>
    <w:rsid w:val="0068373E"/>
    <w:rsid w:val="00683D4A"/>
    <w:rsid w:val="00685CF3"/>
    <w:rsid w:val="0068609D"/>
    <w:rsid w:val="00686B25"/>
    <w:rsid w:val="006900C6"/>
    <w:rsid w:val="00693526"/>
    <w:rsid w:val="00693DA4"/>
    <w:rsid w:val="0069432C"/>
    <w:rsid w:val="00695DF2"/>
    <w:rsid w:val="006969CF"/>
    <w:rsid w:val="00697881"/>
    <w:rsid w:val="006A0E46"/>
    <w:rsid w:val="006A3023"/>
    <w:rsid w:val="006A397D"/>
    <w:rsid w:val="006A6520"/>
    <w:rsid w:val="006B171D"/>
    <w:rsid w:val="006B30E1"/>
    <w:rsid w:val="006B3541"/>
    <w:rsid w:val="006B5F60"/>
    <w:rsid w:val="006B7744"/>
    <w:rsid w:val="006B7C58"/>
    <w:rsid w:val="006C0873"/>
    <w:rsid w:val="006C0FBF"/>
    <w:rsid w:val="006C23C1"/>
    <w:rsid w:val="006C35F2"/>
    <w:rsid w:val="006C4D02"/>
    <w:rsid w:val="006C5D21"/>
    <w:rsid w:val="006C5E61"/>
    <w:rsid w:val="006C6E0F"/>
    <w:rsid w:val="006D08EC"/>
    <w:rsid w:val="006D1C0A"/>
    <w:rsid w:val="006D1F9E"/>
    <w:rsid w:val="006D39AA"/>
    <w:rsid w:val="006D643E"/>
    <w:rsid w:val="006D74EE"/>
    <w:rsid w:val="006D7F34"/>
    <w:rsid w:val="006D7F74"/>
    <w:rsid w:val="006E073B"/>
    <w:rsid w:val="006E0EDD"/>
    <w:rsid w:val="006E2DC1"/>
    <w:rsid w:val="006E2EBA"/>
    <w:rsid w:val="006E4B8D"/>
    <w:rsid w:val="006E54AC"/>
    <w:rsid w:val="006E59EA"/>
    <w:rsid w:val="006E77FD"/>
    <w:rsid w:val="006F0545"/>
    <w:rsid w:val="006F0DF1"/>
    <w:rsid w:val="006F136D"/>
    <w:rsid w:val="006F19AA"/>
    <w:rsid w:val="006F2C40"/>
    <w:rsid w:val="006F421F"/>
    <w:rsid w:val="006F4D9B"/>
    <w:rsid w:val="006F646F"/>
    <w:rsid w:val="007052DC"/>
    <w:rsid w:val="007069CF"/>
    <w:rsid w:val="007123D3"/>
    <w:rsid w:val="0071342F"/>
    <w:rsid w:val="00714A8C"/>
    <w:rsid w:val="00716C67"/>
    <w:rsid w:val="00717748"/>
    <w:rsid w:val="00720070"/>
    <w:rsid w:val="007201DA"/>
    <w:rsid w:val="007204AF"/>
    <w:rsid w:val="00720DDA"/>
    <w:rsid w:val="00720E04"/>
    <w:rsid w:val="007212CD"/>
    <w:rsid w:val="00722192"/>
    <w:rsid w:val="007223C3"/>
    <w:rsid w:val="00723674"/>
    <w:rsid w:val="007239B8"/>
    <w:rsid w:val="00723D29"/>
    <w:rsid w:val="00727434"/>
    <w:rsid w:val="0072770A"/>
    <w:rsid w:val="007314B2"/>
    <w:rsid w:val="00732047"/>
    <w:rsid w:val="00734E15"/>
    <w:rsid w:val="00735D8F"/>
    <w:rsid w:val="0073713A"/>
    <w:rsid w:val="00737BA3"/>
    <w:rsid w:val="007409AD"/>
    <w:rsid w:val="00740D59"/>
    <w:rsid w:val="007421D4"/>
    <w:rsid w:val="007425C6"/>
    <w:rsid w:val="00742F54"/>
    <w:rsid w:val="0074349B"/>
    <w:rsid w:val="00743CC0"/>
    <w:rsid w:val="007457C8"/>
    <w:rsid w:val="00746F1B"/>
    <w:rsid w:val="00754F74"/>
    <w:rsid w:val="00755B59"/>
    <w:rsid w:val="007565AA"/>
    <w:rsid w:val="00760D92"/>
    <w:rsid w:val="00763410"/>
    <w:rsid w:val="00763676"/>
    <w:rsid w:val="00763E86"/>
    <w:rsid w:val="00765162"/>
    <w:rsid w:val="007660BF"/>
    <w:rsid w:val="007662B8"/>
    <w:rsid w:val="00771CB0"/>
    <w:rsid w:val="00773636"/>
    <w:rsid w:val="0077376A"/>
    <w:rsid w:val="00774760"/>
    <w:rsid w:val="0077629F"/>
    <w:rsid w:val="007766EC"/>
    <w:rsid w:val="00776EEF"/>
    <w:rsid w:val="0077749D"/>
    <w:rsid w:val="00777D78"/>
    <w:rsid w:val="0078245E"/>
    <w:rsid w:val="0078368F"/>
    <w:rsid w:val="007839B6"/>
    <w:rsid w:val="00783B68"/>
    <w:rsid w:val="00783FDA"/>
    <w:rsid w:val="0078556E"/>
    <w:rsid w:val="007879BC"/>
    <w:rsid w:val="0079010E"/>
    <w:rsid w:val="00791015"/>
    <w:rsid w:val="007927FF"/>
    <w:rsid w:val="00793E13"/>
    <w:rsid w:val="00795352"/>
    <w:rsid w:val="00795826"/>
    <w:rsid w:val="00796FDD"/>
    <w:rsid w:val="007979F3"/>
    <w:rsid w:val="007A0039"/>
    <w:rsid w:val="007A125B"/>
    <w:rsid w:val="007A160D"/>
    <w:rsid w:val="007A1C26"/>
    <w:rsid w:val="007A4298"/>
    <w:rsid w:val="007A462F"/>
    <w:rsid w:val="007A527D"/>
    <w:rsid w:val="007B299E"/>
    <w:rsid w:val="007B2CDA"/>
    <w:rsid w:val="007B2EA4"/>
    <w:rsid w:val="007B3364"/>
    <w:rsid w:val="007B43D1"/>
    <w:rsid w:val="007B6BCF"/>
    <w:rsid w:val="007C0233"/>
    <w:rsid w:val="007C0AAF"/>
    <w:rsid w:val="007C11C9"/>
    <w:rsid w:val="007C132B"/>
    <w:rsid w:val="007C3186"/>
    <w:rsid w:val="007C342C"/>
    <w:rsid w:val="007C4165"/>
    <w:rsid w:val="007C5AB5"/>
    <w:rsid w:val="007D1CF8"/>
    <w:rsid w:val="007D2E77"/>
    <w:rsid w:val="007D3AB5"/>
    <w:rsid w:val="007D3C58"/>
    <w:rsid w:val="007D4075"/>
    <w:rsid w:val="007D4EB4"/>
    <w:rsid w:val="007D502C"/>
    <w:rsid w:val="007D614C"/>
    <w:rsid w:val="007D65D3"/>
    <w:rsid w:val="007D7258"/>
    <w:rsid w:val="007E0C04"/>
    <w:rsid w:val="007E2EA7"/>
    <w:rsid w:val="007E35F6"/>
    <w:rsid w:val="007E4350"/>
    <w:rsid w:val="007E4A90"/>
    <w:rsid w:val="007E4F52"/>
    <w:rsid w:val="007E6A68"/>
    <w:rsid w:val="007E6D86"/>
    <w:rsid w:val="007F2478"/>
    <w:rsid w:val="007F3642"/>
    <w:rsid w:val="007F66B5"/>
    <w:rsid w:val="007F687D"/>
    <w:rsid w:val="007F7B1C"/>
    <w:rsid w:val="007F7FB8"/>
    <w:rsid w:val="008007C3"/>
    <w:rsid w:val="008045D4"/>
    <w:rsid w:val="00805C4C"/>
    <w:rsid w:val="00805EE7"/>
    <w:rsid w:val="0080702E"/>
    <w:rsid w:val="008075F1"/>
    <w:rsid w:val="00807909"/>
    <w:rsid w:val="00810FD4"/>
    <w:rsid w:val="00813216"/>
    <w:rsid w:val="00814C2E"/>
    <w:rsid w:val="008158BC"/>
    <w:rsid w:val="0081668C"/>
    <w:rsid w:val="008169AF"/>
    <w:rsid w:val="0082136F"/>
    <w:rsid w:val="00821850"/>
    <w:rsid w:val="00822285"/>
    <w:rsid w:val="00822722"/>
    <w:rsid w:val="00822FE9"/>
    <w:rsid w:val="0082551F"/>
    <w:rsid w:val="008256CF"/>
    <w:rsid w:val="008272CB"/>
    <w:rsid w:val="008302F8"/>
    <w:rsid w:val="008316D0"/>
    <w:rsid w:val="00833AF0"/>
    <w:rsid w:val="008341BC"/>
    <w:rsid w:val="00836188"/>
    <w:rsid w:val="00836EF0"/>
    <w:rsid w:val="00837E99"/>
    <w:rsid w:val="008408F0"/>
    <w:rsid w:val="00841282"/>
    <w:rsid w:val="0084345C"/>
    <w:rsid w:val="0084614D"/>
    <w:rsid w:val="008464A9"/>
    <w:rsid w:val="00851D1E"/>
    <w:rsid w:val="00851F97"/>
    <w:rsid w:val="00852229"/>
    <w:rsid w:val="008555B5"/>
    <w:rsid w:val="00857147"/>
    <w:rsid w:val="00857DDC"/>
    <w:rsid w:val="00860ED3"/>
    <w:rsid w:val="008634FA"/>
    <w:rsid w:val="00863754"/>
    <w:rsid w:val="0086529D"/>
    <w:rsid w:val="008663B3"/>
    <w:rsid w:val="00870016"/>
    <w:rsid w:val="00870CD4"/>
    <w:rsid w:val="00873A0E"/>
    <w:rsid w:val="00874252"/>
    <w:rsid w:val="008743C1"/>
    <w:rsid w:val="008746BE"/>
    <w:rsid w:val="008765B7"/>
    <w:rsid w:val="00876607"/>
    <w:rsid w:val="00880815"/>
    <w:rsid w:val="00880C9E"/>
    <w:rsid w:val="00880DCF"/>
    <w:rsid w:val="008827BF"/>
    <w:rsid w:val="00883859"/>
    <w:rsid w:val="00885233"/>
    <w:rsid w:val="00885D7A"/>
    <w:rsid w:val="0088683A"/>
    <w:rsid w:val="008904E0"/>
    <w:rsid w:val="00890CF9"/>
    <w:rsid w:val="00891166"/>
    <w:rsid w:val="00891D9F"/>
    <w:rsid w:val="00893683"/>
    <w:rsid w:val="00893A53"/>
    <w:rsid w:val="00894243"/>
    <w:rsid w:val="008959BE"/>
    <w:rsid w:val="00896AAB"/>
    <w:rsid w:val="008A1C39"/>
    <w:rsid w:val="008A1E0A"/>
    <w:rsid w:val="008A4AEB"/>
    <w:rsid w:val="008A5C96"/>
    <w:rsid w:val="008A62AD"/>
    <w:rsid w:val="008A62EC"/>
    <w:rsid w:val="008A6D13"/>
    <w:rsid w:val="008B0B56"/>
    <w:rsid w:val="008B3569"/>
    <w:rsid w:val="008B3D41"/>
    <w:rsid w:val="008C068B"/>
    <w:rsid w:val="008C1D82"/>
    <w:rsid w:val="008C1DCC"/>
    <w:rsid w:val="008C4E06"/>
    <w:rsid w:val="008C5980"/>
    <w:rsid w:val="008C69D9"/>
    <w:rsid w:val="008C7B3C"/>
    <w:rsid w:val="008D23CC"/>
    <w:rsid w:val="008D3BC8"/>
    <w:rsid w:val="008D4F84"/>
    <w:rsid w:val="008E1DCB"/>
    <w:rsid w:val="008E2006"/>
    <w:rsid w:val="008E2DD5"/>
    <w:rsid w:val="008E3848"/>
    <w:rsid w:val="008E45F3"/>
    <w:rsid w:val="008E6721"/>
    <w:rsid w:val="008E6E5A"/>
    <w:rsid w:val="008F01E0"/>
    <w:rsid w:val="008F4358"/>
    <w:rsid w:val="008F4532"/>
    <w:rsid w:val="008F7A7C"/>
    <w:rsid w:val="00900AE0"/>
    <w:rsid w:val="00901CA5"/>
    <w:rsid w:val="0090206E"/>
    <w:rsid w:val="00903172"/>
    <w:rsid w:val="009041CF"/>
    <w:rsid w:val="00905183"/>
    <w:rsid w:val="009062D5"/>
    <w:rsid w:val="00907187"/>
    <w:rsid w:val="0091076F"/>
    <w:rsid w:val="00911AB2"/>
    <w:rsid w:val="0091286A"/>
    <w:rsid w:val="00913C58"/>
    <w:rsid w:val="00913F88"/>
    <w:rsid w:val="009149D9"/>
    <w:rsid w:val="0091656F"/>
    <w:rsid w:val="00920A01"/>
    <w:rsid w:val="009211C9"/>
    <w:rsid w:val="00921A79"/>
    <w:rsid w:val="00925450"/>
    <w:rsid w:val="009277FE"/>
    <w:rsid w:val="00931A07"/>
    <w:rsid w:val="00931EFA"/>
    <w:rsid w:val="009326B5"/>
    <w:rsid w:val="00934033"/>
    <w:rsid w:val="00935ACB"/>
    <w:rsid w:val="00935B68"/>
    <w:rsid w:val="00935F81"/>
    <w:rsid w:val="00936ECE"/>
    <w:rsid w:val="00937DB5"/>
    <w:rsid w:val="0094155A"/>
    <w:rsid w:val="00941FD3"/>
    <w:rsid w:val="009423E6"/>
    <w:rsid w:val="00942496"/>
    <w:rsid w:val="00942B31"/>
    <w:rsid w:val="00942BAB"/>
    <w:rsid w:val="0094339F"/>
    <w:rsid w:val="009442D4"/>
    <w:rsid w:val="009447F5"/>
    <w:rsid w:val="00944B23"/>
    <w:rsid w:val="00944C1A"/>
    <w:rsid w:val="0094656D"/>
    <w:rsid w:val="00947355"/>
    <w:rsid w:val="0094776C"/>
    <w:rsid w:val="009503D9"/>
    <w:rsid w:val="0095069A"/>
    <w:rsid w:val="00950DBF"/>
    <w:rsid w:val="00953A8D"/>
    <w:rsid w:val="00957D6D"/>
    <w:rsid w:val="00957F65"/>
    <w:rsid w:val="009619EC"/>
    <w:rsid w:val="0096232E"/>
    <w:rsid w:val="00962F38"/>
    <w:rsid w:val="00963639"/>
    <w:rsid w:val="009636B8"/>
    <w:rsid w:val="00963D5B"/>
    <w:rsid w:val="0096526C"/>
    <w:rsid w:val="009652BB"/>
    <w:rsid w:val="009657C0"/>
    <w:rsid w:val="0096664A"/>
    <w:rsid w:val="00966956"/>
    <w:rsid w:val="009709A7"/>
    <w:rsid w:val="009713D1"/>
    <w:rsid w:val="00971794"/>
    <w:rsid w:val="00972197"/>
    <w:rsid w:val="00972877"/>
    <w:rsid w:val="00972B2F"/>
    <w:rsid w:val="0097385F"/>
    <w:rsid w:val="00975C4F"/>
    <w:rsid w:val="0097683B"/>
    <w:rsid w:val="00976BDF"/>
    <w:rsid w:val="0097774D"/>
    <w:rsid w:val="00977EA4"/>
    <w:rsid w:val="009805DC"/>
    <w:rsid w:val="0098188B"/>
    <w:rsid w:val="00982681"/>
    <w:rsid w:val="0098277A"/>
    <w:rsid w:val="00985BFD"/>
    <w:rsid w:val="0098605D"/>
    <w:rsid w:val="0099169E"/>
    <w:rsid w:val="009916B6"/>
    <w:rsid w:val="0099176E"/>
    <w:rsid w:val="0099370D"/>
    <w:rsid w:val="00994581"/>
    <w:rsid w:val="00994B83"/>
    <w:rsid w:val="00996980"/>
    <w:rsid w:val="00996C16"/>
    <w:rsid w:val="00997000"/>
    <w:rsid w:val="00997350"/>
    <w:rsid w:val="009A30B3"/>
    <w:rsid w:val="009A4777"/>
    <w:rsid w:val="009A58FC"/>
    <w:rsid w:val="009A67CF"/>
    <w:rsid w:val="009A740C"/>
    <w:rsid w:val="009A79BC"/>
    <w:rsid w:val="009B0440"/>
    <w:rsid w:val="009B08C6"/>
    <w:rsid w:val="009B110D"/>
    <w:rsid w:val="009B271C"/>
    <w:rsid w:val="009B2E23"/>
    <w:rsid w:val="009B456E"/>
    <w:rsid w:val="009B56A4"/>
    <w:rsid w:val="009B5895"/>
    <w:rsid w:val="009B70D0"/>
    <w:rsid w:val="009C05D5"/>
    <w:rsid w:val="009C2126"/>
    <w:rsid w:val="009C2B51"/>
    <w:rsid w:val="009C52C5"/>
    <w:rsid w:val="009C61FC"/>
    <w:rsid w:val="009D0CA8"/>
    <w:rsid w:val="009D1EB4"/>
    <w:rsid w:val="009D58BC"/>
    <w:rsid w:val="009D6D8A"/>
    <w:rsid w:val="009E0B32"/>
    <w:rsid w:val="009E0B65"/>
    <w:rsid w:val="009E14E6"/>
    <w:rsid w:val="009E252E"/>
    <w:rsid w:val="009E2642"/>
    <w:rsid w:val="009E5084"/>
    <w:rsid w:val="009F020F"/>
    <w:rsid w:val="009F1838"/>
    <w:rsid w:val="009F22E1"/>
    <w:rsid w:val="009F3BC6"/>
    <w:rsid w:val="009F607D"/>
    <w:rsid w:val="00A00047"/>
    <w:rsid w:val="00A002F2"/>
    <w:rsid w:val="00A0049B"/>
    <w:rsid w:val="00A0175D"/>
    <w:rsid w:val="00A0192E"/>
    <w:rsid w:val="00A031AD"/>
    <w:rsid w:val="00A03DB5"/>
    <w:rsid w:val="00A04293"/>
    <w:rsid w:val="00A04446"/>
    <w:rsid w:val="00A05111"/>
    <w:rsid w:val="00A05653"/>
    <w:rsid w:val="00A057E1"/>
    <w:rsid w:val="00A05F87"/>
    <w:rsid w:val="00A068B5"/>
    <w:rsid w:val="00A073E1"/>
    <w:rsid w:val="00A07616"/>
    <w:rsid w:val="00A1266D"/>
    <w:rsid w:val="00A13C4C"/>
    <w:rsid w:val="00A14070"/>
    <w:rsid w:val="00A15454"/>
    <w:rsid w:val="00A20D4C"/>
    <w:rsid w:val="00A216B9"/>
    <w:rsid w:val="00A22DCE"/>
    <w:rsid w:val="00A234BE"/>
    <w:rsid w:val="00A256F3"/>
    <w:rsid w:val="00A2695E"/>
    <w:rsid w:val="00A31A97"/>
    <w:rsid w:val="00A32E05"/>
    <w:rsid w:val="00A34B91"/>
    <w:rsid w:val="00A35B1D"/>
    <w:rsid w:val="00A40639"/>
    <w:rsid w:val="00A407BE"/>
    <w:rsid w:val="00A40A02"/>
    <w:rsid w:val="00A40F51"/>
    <w:rsid w:val="00A4135E"/>
    <w:rsid w:val="00A43650"/>
    <w:rsid w:val="00A43AB6"/>
    <w:rsid w:val="00A4782F"/>
    <w:rsid w:val="00A508E1"/>
    <w:rsid w:val="00A53549"/>
    <w:rsid w:val="00A537CC"/>
    <w:rsid w:val="00A54A81"/>
    <w:rsid w:val="00A55474"/>
    <w:rsid w:val="00A555C0"/>
    <w:rsid w:val="00A6087D"/>
    <w:rsid w:val="00A62A2A"/>
    <w:rsid w:val="00A63291"/>
    <w:rsid w:val="00A63D27"/>
    <w:rsid w:val="00A6556F"/>
    <w:rsid w:val="00A66319"/>
    <w:rsid w:val="00A7182E"/>
    <w:rsid w:val="00A72FC3"/>
    <w:rsid w:val="00A745D2"/>
    <w:rsid w:val="00A75177"/>
    <w:rsid w:val="00A7561F"/>
    <w:rsid w:val="00A76DD7"/>
    <w:rsid w:val="00A804C6"/>
    <w:rsid w:val="00A80AD4"/>
    <w:rsid w:val="00A81540"/>
    <w:rsid w:val="00A81C65"/>
    <w:rsid w:val="00A84DB1"/>
    <w:rsid w:val="00A86657"/>
    <w:rsid w:val="00A87D7C"/>
    <w:rsid w:val="00A911DE"/>
    <w:rsid w:val="00A93089"/>
    <w:rsid w:val="00A9677A"/>
    <w:rsid w:val="00A9724C"/>
    <w:rsid w:val="00AA061D"/>
    <w:rsid w:val="00AA2E27"/>
    <w:rsid w:val="00AA3356"/>
    <w:rsid w:val="00AA3A01"/>
    <w:rsid w:val="00AA677C"/>
    <w:rsid w:val="00AB1AD3"/>
    <w:rsid w:val="00AB23D6"/>
    <w:rsid w:val="00AB2526"/>
    <w:rsid w:val="00AB5C21"/>
    <w:rsid w:val="00AB743B"/>
    <w:rsid w:val="00AC1B94"/>
    <w:rsid w:val="00AC3A36"/>
    <w:rsid w:val="00AC4613"/>
    <w:rsid w:val="00AC6339"/>
    <w:rsid w:val="00AD0EA9"/>
    <w:rsid w:val="00AD164F"/>
    <w:rsid w:val="00AD2055"/>
    <w:rsid w:val="00AD4773"/>
    <w:rsid w:val="00AD4EB4"/>
    <w:rsid w:val="00AD578C"/>
    <w:rsid w:val="00AD784B"/>
    <w:rsid w:val="00AD7AA4"/>
    <w:rsid w:val="00AE0211"/>
    <w:rsid w:val="00AE028B"/>
    <w:rsid w:val="00AE0648"/>
    <w:rsid w:val="00AE248B"/>
    <w:rsid w:val="00AE2E23"/>
    <w:rsid w:val="00AE3885"/>
    <w:rsid w:val="00AE3C6D"/>
    <w:rsid w:val="00AE568B"/>
    <w:rsid w:val="00AE6C31"/>
    <w:rsid w:val="00AF0A17"/>
    <w:rsid w:val="00AF2913"/>
    <w:rsid w:val="00AF36FE"/>
    <w:rsid w:val="00AF3D74"/>
    <w:rsid w:val="00AF49DA"/>
    <w:rsid w:val="00AF702E"/>
    <w:rsid w:val="00AF7170"/>
    <w:rsid w:val="00AF73C8"/>
    <w:rsid w:val="00AF78B7"/>
    <w:rsid w:val="00B025E5"/>
    <w:rsid w:val="00B02C0A"/>
    <w:rsid w:val="00B03399"/>
    <w:rsid w:val="00B045E2"/>
    <w:rsid w:val="00B053DF"/>
    <w:rsid w:val="00B0745C"/>
    <w:rsid w:val="00B11840"/>
    <w:rsid w:val="00B11F9F"/>
    <w:rsid w:val="00B1215B"/>
    <w:rsid w:val="00B13662"/>
    <w:rsid w:val="00B153AE"/>
    <w:rsid w:val="00B1730A"/>
    <w:rsid w:val="00B205B7"/>
    <w:rsid w:val="00B2124A"/>
    <w:rsid w:val="00B21BF8"/>
    <w:rsid w:val="00B227F4"/>
    <w:rsid w:val="00B24030"/>
    <w:rsid w:val="00B247BD"/>
    <w:rsid w:val="00B25CCE"/>
    <w:rsid w:val="00B263AD"/>
    <w:rsid w:val="00B26CF1"/>
    <w:rsid w:val="00B2799C"/>
    <w:rsid w:val="00B31083"/>
    <w:rsid w:val="00B323E5"/>
    <w:rsid w:val="00B32F9C"/>
    <w:rsid w:val="00B338ED"/>
    <w:rsid w:val="00B33B35"/>
    <w:rsid w:val="00B363D8"/>
    <w:rsid w:val="00B366D1"/>
    <w:rsid w:val="00B37101"/>
    <w:rsid w:val="00B372BD"/>
    <w:rsid w:val="00B37401"/>
    <w:rsid w:val="00B4018C"/>
    <w:rsid w:val="00B40E30"/>
    <w:rsid w:val="00B42092"/>
    <w:rsid w:val="00B437B3"/>
    <w:rsid w:val="00B45127"/>
    <w:rsid w:val="00B46C31"/>
    <w:rsid w:val="00B47431"/>
    <w:rsid w:val="00B50277"/>
    <w:rsid w:val="00B527CA"/>
    <w:rsid w:val="00B55ED2"/>
    <w:rsid w:val="00B56E14"/>
    <w:rsid w:val="00B60BA8"/>
    <w:rsid w:val="00B6176D"/>
    <w:rsid w:val="00B6401B"/>
    <w:rsid w:val="00B652C1"/>
    <w:rsid w:val="00B67E1E"/>
    <w:rsid w:val="00B67F52"/>
    <w:rsid w:val="00B70157"/>
    <w:rsid w:val="00B703EA"/>
    <w:rsid w:val="00B71C4E"/>
    <w:rsid w:val="00B7378B"/>
    <w:rsid w:val="00B74514"/>
    <w:rsid w:val="00B7475F"/>
    <w:rsid w:val="00B75E89"/>
    <w:rsid w:val="00B76426"/>
    <w:rsid w:val="00B76B09"/>
    <w:rsid w:val="00B772FD"/>
    <w:rsid w:val="00B81BA0"/>
    <w:rsid w:val="00B833C0"/>
    <w:rsid w:val="00B83970"/>
    <w:rsid w:val="00B83CAD"/>
    <w:rsid w:val="00B8431D"/>
    <w:rsid w:val="00B873B4"/>
    <w:rsid w:val="00B90460"/>
    <w:rsid w:val="00B9100C"/>
    <w:rsid w:val="00B917A4"/>
    <w:rsid w:val="00B94DA5"/>
    <w:rsid w:val="00B94FBB"/>
    <w:rsid w:val="00B969A9"/>
    <w:rsid w:val="00B96C4E"/>
    <w:rsid w:val="00B97811"/>
    <w:rsid w:val="00B97CBF"/>
    <w:rsid w:val="00BA1851"/>
    <w:rsid w:val="00BA1957"/>
    <w:rsid w:val="00BA197F"/>
    <w:rsid w:val="00BA1EBC"/>
    <w:rsid w:val="00BA2A35"/>
    <w:rsid w:val="00BA35F0"/>
    <w:rsid w:val="00BA57A2"/>
    <w:rsid w:val="00BA61DA"/>
    <w:rsid w:val="00BA63DE"/>
    <w:rsid w:val="00BA644D"/>
    <w:rsid w:val="00BB090B"/>
    <w:rsid w:val="00BB1081"/>
    <w:rsid w:val="00BB112D"/>
    <w:rsid w:val="00BB171C"/>
    <w:rsid w:val="00BB1F57"/>
    <w:rsid w:val="00BB2D9F"/>
    <w:rsid w:val="00BB2E1B"/>
    <w:rsid w:val="00BB4C5D"/>
    <w:rsid w:val="00BB5829"/>
    <w:rsid w:val="00BB6157"/>
    <w:rsid w:val="00BB62C9"/>
    <w:rsid w:val="00BB6339"/>
    <w:rsid w:val="00BB6E31"/>
    <w:rsid w:val="00BB7C40"/>
    <w:rsid w:val="00BB7F4D"/>
    <w:rsid w:val="00BC08AE"/>
    <w:rsid w:val="00BC0F44"/>
    <w:rsid w:val="00BC2D84"/>
    <w:rsid w:val="00BC73E7"/>
    <w:rsid w:val="00BD2072"/>
    <w:rsid w:val="00BD3047"/>
    <w:rsid w:val="00BD3FA1"/>
    <w:rsid w:val="00BD43AC"/>
    <w:rsid w:val="00BD6961"/>
    <w:rsid w:val="00BE2E08"/>
    <w:rsid w:val="00BE64AF"/>
    <w:rsid w:val="00BE667B"/>
    <w:rsid w:val="00BE71DF"/>
    <w:rsid w:val="00BE72B9"/>
    <w:rsid w:val="00BE78FA"/>
    <w:rsid w:val="00BF35ED"/>
    <w:rsid w:val="00BF6694"/>
    <w:rsid w:val="00C02C1E"/>
    <w:rsid w:val="00C03921"/>
    <w:rsid w:val="00C05850"/>
    <w:rsid w:val="00C06B68"/>
    <w:rsid w:val="00C1067B"/>
    <w:rsid w:val="00C11F45"/>
    <w:rsid w:val="00C13B72"/>
    <w:rsid w:val="00C14076"/>
    <w:rsid w:val="00C1686E"/>
    <w:rsid w:val="00C228DF"/>
    <w:rsid w:val="00C22F16"/>
    <w:rsid w:val="00C2378F"/>
    <w:rsid w:val="00C25865"/>
    <w:rsid w:val="00C25A97"/>
    <w:rsid w:val="00C272A4"/>
    <w:rsid w:val="00C30A07"/>
    <w:rsid w:val="00C30EC0"/>
    <w:rsid w:val="00C31E79"/>
    <w:rsid w:val="00C31EE6"/>
    <w:rsid w:val="00C32673"/>
    <w:rsid w:val="00C32BA5"/>
    <w:rsid w:val="00C331B6"/>
    <w:rsid w:val="00C365C0"/>
    <w:rsid w:val="00C3787E"/>
    <w:rsid w:val="00C40463"/>
    <w:rsid w:val="00C4093D"/>
    <w:rsid w:val="00C422B7"/>
    <w:rsid w:val="00C424AB"/>
    <w:rsid w:val="00C446A9"/>
    <w:rsid w:val="00C44A36"/>
    <w:rsid w:val="00C45570"/>
    <w:rsid w:val="00C46E5C"/>
    <w:rsid w:val="00C51066"/>
    <w:rsid w:val="00C52D2A"/>
    <w:rsid w:val="00C5651E"/>
    <w:rsid w:val="00C60F28"/>
    <w:rsid w:val="00C60F55"/>
    <w:rsid w:val="00C632FE"/>
    <w:rsid w:val="00C6398B"/>
    <w:rsid w:val="00C641C2"/>
    <w:rsid w:val="00C66403"/>
    <w:rsid w:val="00C70490"/>
    <w:rsid w:val="00C704B3"/>
    <w:rsid w:val="00C70DCA"/>
    <w:rsid w:val="00C72ECA"/>
    <w:rsid w:val="00C74016"/>
    <w:rsid w:val="00C76210"/>
    <w:rsid w:val="00C777F8"/>
    <w:rsid w:val="00C81540"/>
    <w:rsid w:val="00C828C8"/>
    <w:rsid w:val="00C8467E"/>
    <w:rsid w:val="00C8646C"/>
    <w:rsid w:val="00C86BD3"/>
    <w:rsid w:val="00C92B7D"/>
    <w:rsid w:val="00C952BB"/>
    <w:rsid w:val="00C95A1E"/>
    <w:rsid w:val="00C96047"/>
    <w:rsid w:val="00C96ACB"/>
    <w:rsid w:val="00C972FE"/>
    <w:rsid w:val="00CA03A8"/>
    <w:rsid w:val="00CA10CB"/>
    <w:rsid w:val="00CA1A27"/>
    <w:rsid w:val="00CA2153"/>
    <w:rsid w:val="00CA27CF"/>
    <w:rsid w:val="00CA7130"/>
    <w:rsid w:val="00CA7B10"/>
    <w:rsid w:val="00CB0A57"/>
    <w:rsid w:val="00CB2167"/>
    <w:rsid w:val="00CB3996"/>
    <w:rsid w:val="00CB6332"/>
    <w:rsid w:val="00CB7556"/>
    <w:rsid w:val="00CB7C88"/>
    <w:rsid w:val="00CC0614"/>
    <w:rsid w:val="00CC0DD0"/>
    <w:rsid w:val="00CC10CB"/>
    <w:rsid w:val="00CC1ACA"/>
    <w:rsid w:val="00CC2F8F"/>
    <w:rsid w:val="00CC4077"/>
    <w:rsid w:val="00CC49DA"/>
    <w:rsid w:val="00CC4FE1"/>
    <w:rsid w:val="00CC55D7"/>
    <w:rsid w:val="00CC74E7"/>
    <w:rsid w:val="00CD14EE"/>
    <w:rsid w:val="00CD2873"/>
    <w:rsid w:val="00CD5E9C"/>
    <w:rsid w:val="00CD62AA"/>
    <w:rsid w:val="00CD6C6A"/>
    <w:rsid w:val="00CD7A89"/>
    <w:rsid w:val="00CE0058"/>
    <w:rsid w:val="00CE038E"/>
    <w:rsid w:val="00CE0AC6"/>
    <w:rsid w:val="00CE1563"/>
    <w:rsid w:val="00CE2837"/>
    <w:rsid w:val="00CE2F90"/>
    <w:rsid w:val="00CE3687"/>
    <w:rsid w:val="00CE5DFC"/>
    <w:rsid w:val="00CE6291"/>
    <w:rsid w:val="00CE6389"/>
    <w:rsid w:val="00CE6BC6"/>
    <w:rsid w:val="00CF048B"/>
    <w:rsid w:val="00CF194B"/>
    <w:rsid w:val="00CF1FF8"/>
    <w:rsid w:val="00CF573E"/>
    <w:rsid w:val="00CF597D"/>
    <w:rsid w:val="00CF68CB"/>
    <w:rsid w:val="00CF6EE9"/>
    <w:rsid w:val="00D00EAE"/>
    <w:rsid w:val="00D01D37"/>
    <w:rsid w:val="00D05FF3"/>
    <w:rsid w:val="00D06DA4"/>
    <w:rsid w:val="00D07206"/>
    <w:rsid w:val="00D074F9"/>
    <w:rsid w:val="00D11D1E"/>
    <w:rsid w:val="00D12F6E"/>
    <w:rsid w:val="00D135EC"/>
    <w:rsid w:val="00D144EB"/>
    <w:rsid w:val="00D1496D"/>
    <w:rsid w:val="00D15073"/>
    <w:rsid w:val="00D15ABE"/>
    <w:rsid w:val="00D202C4"/>
    <w:rsid w:val="00D20A4B"/>
    <w:rsid w:val="00D20C39"/>
    <w:rsid w:val="00D20DEF"/>
    <w:rsid w:val="00D2456F"/>
    <w:rsid w:val="00D2508E"/>
    <w:rsid w:val="00D25354"/>
    <w:rsid w:val="00D2545D"/>
    <w:rsid w:val="00D27046"/>
    <w:rsid w:val="00D31051"/>
    <w:rsid w:val="00D3139B"/>
    <w:rsid w:val="00D31BA2"/>
    <w:rsid w:val="00D32A45"/>
    <w:rsid w:val="00D335C3"/>
    <w:rsid w:val="00D352AA"/>
    <w:rsid w:val="00D35300"/>
    <w:rsid w:val="00D3549C"/>
    <w:rsid w:val="00D360AE"/>
    <w:rsid w:val="00D3615C"/>
    <w:rsid w:val="00D36C89"/>
    <w:rsid w:val="00D40806"/>
    <w:rsid w:val="00D40817"/>
    <w:rsid w:val="00D42D71"/>
    <w:rsid w:val="00D46FB5"/>
    <w:rsid w:val="00D51EA8"/>
    <w:rsid w:val="00D530A0"/>
    <w:rsid w:val="00D532D6"/>
    <w:rsid w:val="00D5399C"/>
    <w:rsid w:val="00D55E6F"/>
    <w:rsid w:val="00D56F8C"/>
    <w:rsid w:val="00D60474"/>
    <w:rsid w:val="00D609EF"/>
    <w:rsid w:val="00D6118C"/>
    <w:rsid w:val="00D615FB"/>
    <w:rsid w:val="00D62A7F"/>
    <w:rsid w:val="00D632B6"/>
    <w:rsid w:val="00D6518C"/>
    <w:rsid w:val="00D657B8"/>
    <w:rsid w:val="00D65871"/>
    <w:rsid w:val="00D70033"/>
    <w:rsid w:val="00D72119"/>
    <w:rsid w:val="00D72D75"/>
    <w:rsid w:val="00D74093"/>
    <w:rsid w:val="00D74EF6"/>
    <w:rsid w:val="00D75655"/>
    <w:rsid w:val="00D75657"/>
    <w:rsid w:val="00D75C64"/>
    <w:rsid w:val="00D76044"/>
    <w:rsid w:val="00D76B71"/>
    <w:rsid w:val="00D801C9"/>
    <w:rsid w:val="00D819D7"/>
    <w:rsid w:val="00D8242B"/>
    <w:rsid w:val="00D83305"/>
    <w:rsid w:val="00D85CE8"/>
    <w:rsid w:val="00D93490"/>
    <w:rsid w:val="00D93989"/>
    <w:rsid w:val="00D93AEF"/>
    <w:rsid w:val="00D94267"/>
    <w:rsid w:val="00D94698"/>
    <w:rsid w:val="00D94795"/>
    <w:rsid w:val="00D948D5"/>
    <w:rsid w:val="00D94F51"/>
    <w:rsid w:val="00D96551"/>
    <w:rsid w:val="00D96D8B"/>
    <w:rsid w:val="00D96DA8"/>
    <w:rsid w:val="00D97D6F"/>
    <w:rsid w:val="00DA12CC"/>
    <w:rsid w:val="00DA1B76"/>
    <w:rsid w:val="00DA2206"/>
    <w:rsid w:val="00DA237B"/>
    <w:rsid w:val="00DA2AAC"/>
    <w:rsid w:val="00DA3B6A"/>
    <w:rsid w:val="00DA4F2A"/>
    <w:rsid w:val="00DA5343"/>
    <w:rsid w:val="00DA54E0"/>
    <w:rsid w:val="00DA54E9"/>
    <w:rsid w:val="00DA714F"/>
    <w:rsid w:val="00DB07B7"/>
    <w:rsid w:val="00DB0D54"/>
    <w:rsid w:val="00DB0DF3"/>
    <w:rsid w:val="00DB2CC7"/>
    <w:rsid w:val="00DB6867"/>
    <w:rsid w:val="00DC48B0"/>
    <w:rsid w:val="00DC506E"/>
    <w:rsid w:val="00DC51D9"/>
    <w:rsid w:val="00DC51FB"/>
    <w:rsid w:val="00DC681A"/>
    <w:rsid w:val="00DC6EDD"/>
    <w:rsid w:val="00DD1D0E"/>
    <w:rsid w:val="00DD2019"/>
    <w:rsid w:val="00DD4728"/>
    <w:rsid w:val="00DD483C"/>
    <w:rsid w:val="00DD56E9"/>
    <w:rsid w:val="00DD5D22"/>
    <w:rsid w:val="00DD6CC4"/>
    <w:rsid w:val="00DD75F1"/>
    <w:rsid w:val="00DE058C"/>
    <w:rsid w:val="00DE469A"/>
    <w:rsid w:val="00DE487F"/>
    <w:rsid w:val="00DE4D9F"/>
    <w:rsid w:val="00DE501B"/>
    <w:rsid w:val="00DE6F3E"/>
    <w:rsid w:val="00DE7C8B"/>
    <w:rsid w:val="00DF0A05"/>
    <w:rsid w:val="00DF21C1"/>
    <w:rsid w:val="00DF2813"/>
    <w:rsid w:val="00DF47CE"/>
    <w:rsid w:val="00DF73CD"/>
    <w:rsid w:val="00E00127"/>
    <w:rsid w:val="00E00C5E"/>
    <w:rsid w:val="00E01077"/>
    <w:rsid w:val="00E03BF1"/>
    <w:rsid w:val="00E03FEC"/>
    <w:rsid w:val="00E04327"/>
    <w:rsid w:val="00E06165"/>
    <w:rsid w:val="00E1099E"/>
    <w:rsid w:val="00E10ADB"/>
    <w:rsid w:val="00E10BA3"/>
    <w:rsid w:val="00E10D7B"/>
    <w:rsid w:val="00E10E96"/>
    <w:rsid w:val="00E114BF"/>
    <w:rsid w:val="00E119B2"/>
    <w:rsid w:val="00E164FF"/>
    <w:rsid w:val="00E20AB8"/>
    <w:rsid w:val="00E2120D"/>
    <w:rsid w:val="00E217DB"/>
    <w:rsid w:val="00E22BE6"/>
    <w:rsid w:val="00E235A5"/>
    <w:rsid w:val="00E25103"/>
    <w:rsid w:val="00E25464"/>
    <w:rsid w:val="00E2615E"/>
    <w:rsid w:val="00E2659F"/>
    <w:rsid w:val="00E27076"/>
    <w:rsid w:val="00E27CB9"/>
    <w:rsid w:val="00E27E4B"/>
    <w:rsid w:val="00E3326A"/>
    <w:rsid w:val="00E3593D"/>
    <w:rsid w:val="00E4064C"/>
    <w:rsid w:val="00E411C0"/>
    <w:rsid w:val="00E42FA6"/>
    <w:rsid w:val="00E4369F"/>
    <w:rsid w:val="00E44E8E"/>
    <w:rsid w:val="00E44EBE"/>
    <w:rsid w:val="00E46E2B"/>
    <w:rsid w:val="00E47305"/>
    <w:rsid w:val="00E5011A"/>
    <w:rsid w:val="00E5273A"/>
    <w:rsid w:val="00E54802"/>
    <w:rsid w:val="00E54E99"/>
    <w:rsid w:val="00E5574C"/>
    <w:rsid w:val="00E579A7"/>
    <w:rsid w:val="00E60B72"/>
    <w:rsid w:val="00E60B9C"/>
    <w:rsid w:val="00E61B99"/>
    <w:rsid w:val="00E61F34"/>
    <w:rsid w:val="00E62A3A"/>
    <w:rsid w:val="00E6368A"/>
    <w:rsid w:val="00E6728B"/>
    <w:rsid w:val="00E70DD8"/>
    <w:rsid w:val="00E7116D"/>
    <w:rsid w:val="00E71CE9"/>
    <w:rsid w:val="00E72275"/>
    <w:rsid w:val="00E72C4E"/>
    <w:rsid w:val="00E73D6F"/>
    <w:rsid w:val="00E752E6"/>
    <w:rsid w:val="00E75564"/>
    <w:rsid w:val="00E756CB"/>
    <w:rsid w:val="00E75711"/>
    <w:rsid w:val="00E76B3C"/>
    <w:rsid w:val="00E76D8D"/>
    <w:rsid w:val="00E7798F"/>
    <w:rsid w:val="00E80988"/>
    <w:rsid w:val="00E8195F"/>
    <w:rsid w:val="00E81A04"/>
    <w:rsid w:val="00E83767"/>
    <w:rsid w:val="00E839E3"/>
    <w:rsid w:val="00E86178"/>
    <w:rsid w:val="00E86AFF"/>
    <w:rsid w:val="00E91606"/>
    <w:rsid w:val="00E91C29"/>
    <w:rsid w:val="00E92143"/>
    <w:rsid w:val="00E93EB7"/>
    <w:rsid w:val="00E9566C"/>
    <w:rsid w:val="00E960B8"/>
    <w:rsid w:val="00E96AC9"/>
    <w:rsid w:val="00EA56A4"/>
    <w:rsid w:val="00EA74AB"/>
    <w:rsid w:val="00EB0C93"/>
    <w:rsid w:val="00EB2FA8"/>
    <w:rsid w:val="00EB3377"/>
    <w:rsid w:val="00EB3B28"/>
    <w:rsid w:val="00EB514C"/>
    <w:rsid w:val="00EB648E"/>
    <w:rsid w:val="00EC07A9"/>
    <w:rsid w:val="00EC165E"/>
    <w:rsid w:val="00EC418F"/>
    <w:rsid w:val="00EC5C12"/>
    <w:rsid w:val="00EC6E69"/>
    <w:rsid w:val="00EC7106"/>
    <w:rsid w:val="00ED008C"/>
    <w:rsid w:val="00ED1A2F"/>
    <w:rsid w:val="00ED2598"/>
    <w:rsid w:val="00ED4BC2"/>
    <w:rsid w:val="00ED55D2"/>
    <w:rsid w:val="00ED5F11"/>
    <w:rsid w:val="00ED62DC"/>
    <w:rsid w:val="00ED6960"/>
    <w:rsid w:val="00ED7FC8"/>
    <w:rsid w:val="00ED7FDA"/>
    <w:rsid w:val="00EE0F5B"/>
    <w:rsid w:val="00EE0F9B"/>
    <w:rsid w:val="00EE111C"/>
    <w:rsid w:val="00EE5BF8"/>
    <w:rsid w:val="00EF0615"/>
    <w:rsid w:val="00EF20D8"/>
    <w:rsid w:val="00EF23AD"/>
    <w:rsid w:val="00EF4026"/>
    <w:rsid w:val="00EF76AA"/>
    <w:rsid w:val="00EF7AC0"/>
    <w:rsid w:val="00EF7C8D"/>
    <w:rsid w:val="00F01C65"/>
    <w:rsid w:val="00F01EE2"/>
    <w:rsid w:val="00F027C9"/>
    <w:rsid w:val="00F02C97"/>
    <w:rsid w:val="00F05583"/>
    <w:rsid w:val="00F07745"/>
    <w:rsid w:val="00F1343A"/>
    <w:rsid w:val="00F14592"/>
    <w:rsid w:val="00F14A08"/>
    <w:rsid w:val="00F170E9"/>
    <w:rsid w:val="00F17975"/>
    <w:rsid w:val="00F20700"/>
    <w:rsid w:val="00F20C6C"/>
    <w:rsid w:val="00F214C1"/>
    <w:rsid w:val="00F23753"/>
    <w:rsid w:val="00F23C77"/>
    <w:rsid w:val="00F24EE0"/>
    <w:rsid w:val="00F25AFE"/>
    <w:rsid w:val="00F274B3"/>
    <w:rsid w:val="00F30D8E"/>
    <w:rsid w:val="00F3295A"/>
    <w:rsid w:val="00F329C2"/>
    <w:rsid w:val="00F33319"/>
    <w:rsid w:val="00F33893"/>
    <w:rsid w:val="00F366E8"/>
    <w:rsid w:val="00F36932"/>
    <w:rsid w:val="00F36D48"/>
    <w:rsid w:val="00F4073B"/>
    <w:rsid w:val="00F41F2C"/>
    <w:rsid w:val="00F431C1"/>
    <w:rsid w:val="00F434C3"/>
    <w:rsid w:val="00F43C1A"/>
    <w:rsid w:val="00F43C62"/>
    <w:rsid w:val="00F45280"/>
    <w:rsid w:val="00F45F0D"/>
    <w:rsid w:val="00F4608C"/>
    <w:rsid w:val="00F464DF"/>
    <w:rsid w:val="00F46794"/>
    <w:rsid w:val="00F47397"/>
    <w:rsid w:val="00F53386"/>
    <w:rsid w:val="00F53FEA"/>
    <w:rsid w:val="00F54532"/>
    <w:rsid w:val="00F54C97"/>
    <w:rsid w:val="00F55200"/>
    <w:rsid w:val="00F55B2A"/>
    <w:rsid w:val="00F55E0B"/>
    <w:rsid w:val="00F56539"/>
    <w:rsid w:val="00F572B9"/>
    <w:rsid w:val="00F57BC4"/>
    <w:rsid w:val="00F62469"/>
    <w:rsid w:val="00F640EC"/>
    <w:rsid w:val="00F66DCD"/>
    <w:rsid w:val="00F6765F"/>
    <w:rsid w:val="00F70364"/>
    <w:rsid w:val="00F73C1E"/>
    <w:rsid w:val="00F73E00"/>
    <w:rsid w:val="00F74690"/>
    <w:rsid w:val="00F74C92"/>
    <w:rsid w:val="00F74CF3"/>
    <w:rsid w:val="00F75389"/>
    <w:rsid w:val="00F75848"/>
    <w:rsid w:val="00F75E00"/>
    <w:rsid w:val="00F763E1"/>
    <w:rsid w:val="00F76861"/>
    <w:rsid w:val="00F7740F"/>
    <w:rsid w:val="00F80328"/>
    <w:rsid w:val="00F81B3C"/>
    <w:rsid w:val="00F83269"/>
    <w:rsid w:val="00F8492F"/>
    <w:rsid w:val="00F85B0F"/>
    <w:rsid w:val="00F90CA0"/>
    <w:rsid w:val="00F92DCD"/>
    <w:rsid w:val="00F93BC3"/>
    <w:rsid w:val="00F93C5A"/>
    <w:rsid w:val="00F95A40"/>
    <w:rsid w:val="00F96ED3"/>
    <w:rsid w:val="00FA13A9"/>
    <w:rsid w:val="00FA13F0"/>
    <w:rsid w:val="00FA29BD"/>
    <w:rsid w:val="00FA2DC6"/>
    <w:rsid w:val="00FA3745"/>
    <w:rsid w:val="00FA4EA8"/>
    <w:rsid w:val="00FA5182"/>
    <w:rsid w:val="00FA5F78"/>
    <w:rsid w:val="00FA65B6"/>
    <w:rsid w:val="00FB06B8"/>
    <w:rsid w:val="00FB1B66"/>
    <w:rsid w:val="00FB295B"/>
    <w:rsid w:val="00FB2E1D"/>
    <w:rsid w:val="00FB3E23"/>
    <w:rsid w:val="00FB431C"/>
    <w:rsid w:val="00FB5EAC"/>
    <w:rsid w:val="00FB602D"/>
    <w:rsid w:val="00FB655F"/>
    <w:rsid w:val="00FB721F"/>
    <w:rsid w:val="00FC07A6"/>
    <w:rsid w:val="00FC1224"/>
    <w:rsid w:val="00FC185E"/>
    <w:rsid w:val="00FC196D"/>
    <w:rsid w:val="00FC1DDF"/>
    <w:rsid w:val="00FC24D9"/>
    <w:rsid w:val="00FC3734"/>
    <w:rsid w:val="00FC37AE"/>
    <w:rsid w:val="00FC478A"/>
    <w:rsid w:val="00FC6F90"/>
    <w:rsid w:val="00FD15C0"/>
    <w:rsid w:val="00FD1C6F"/>
    <w:rsid w:val="00FD22A7"/>
    <w:rsid w:val="00FD3440"/>
    <w:rsid w:val="00FD37AA"/>
    <w:rsid w:val="00FD40DD"/>
    <w:rsid w:val="00FD42D1"/>
    <w:rsid w:val="00FE0255"/>
    <w:rsid w:val="00FE0303"/>
    <w:rsid w:val="00FE086A"/>
    <w:rsid w:val="00FE08E2"/>
    <w:rsid w:val="00FE22DA"/>
    <w:rsid w:val="00FE27E3"/>
    <w:rsid w:val="00FE2CD1"/>
    <w:rsid w:val="00FE3492"/>
    <w:rsid w:val="00FE3ED9"/>
    <w:rsid w:val="00FE6881"/>
    <w:rsid w:val="00FF0724"/>
    <w:rsid w:val="00FF18EB"/>
    <w:rsid w:val="00FF2042"/>
    <w:rsid w:val="00FF420F"/>
    <w:rsid w:val="00FF473C"/>
    <w:rsid w:val="00FF6F0E"/>
    <w:rsid w:val="00FF7593"/>
    <w:rsid w:val="00FF7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74419"/>
  <w15:docId w15:val="{C5FC2920-9D26-40DE-B0B0-2B3B8E9D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48B"/>
    <w:pPr>
      <w:spacing w:after="240" w:line="276" w:lineRule="auto"/>
      <w:ind w:left="567"/>
      <w:jc w:val="both"/>
    </w:pPr>
    <w:rPr>
      <w:rFonts w:asciiTheme="minorHAnsi" w:hAnsiTheme="minorHAnsi"/>
      <w:sz w:val="22"/>
      <w:szCs w:val="22"/>
      <w:lang w:eastAsia="en-US"/>
    </w:rPr>
  </w:style>
  <w:style w:type="paragraph" w:styleId="Heading1">
    <w:name w:val="heading 1"/>
    <w:basedOn w:val="Title"/>
    <w:next w:val="Normal"/>
    <w:link w:val="Heading1Char"/>
    <w:qFormat/>
    <w:rsid w:val="0051633F"/>
    <w:pPr>
      <w:numPr>
        <w:numId w:val="4"/>
      </w:numPr>
      <w:spacing w:before="240"/>
      <w:jc w:val="both"/>
      <w:outlineLvl w:val="0"/>
    </w:pPr>
    <w:rPr>
      <w:sz w:val="28"/>
      <w:szCs w:val="28"/>
    </w:rPr>
  </w:style>
  <w:style w:type="paragraph" w:styleId="Heading2">
    <w:name w:val="heading 2"/>
    <w:basedOn w:val="Normal"/>
    <w:next w:val="Normal"/>
    <w:link w:val="Heading2Char"/>
    <w:semiHidden/>
    <w:unhideWhenUsed/>
    <w:qFormat/>
    <w:rsid w:val="004433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4433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0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4117"/>
    <w:pPr>
      <w:tabs>
        <w:tab w:val="center" w:pos="4320"/>
        <w:tab w:val="right" w:pos="8640"/>
      </w:tabs>
    </w:pPr>
  </w:style>
  <w:style w:type="paragraph" w:styleId="Footer">
    <w:name w:val="footer"/>
    <w:basedOn w:val="Normal"/>
    <w:link w:val="FooterChar"/>
    <w:uiPriority w:val="99"/>
    <w:rsid w:val="000C4117"/>
    <w:pPr>
      <w:tabs>
        <w:tab w:val="center" w:pos="4320"/>
        <w:tab w:val="right" w:pos="8640"/>
      </w:tabs>
    </w:pPr>
  </w:style>
  <w:style w:type="paragraph" w:customStyle="1" w:styleId="BidBullets">
    <w:name w:val="Bid: Bullets"/>
    <w:basedOn w:val="Normal"/>
    <w:rsid w:val="00F640EC"/>
    <w:pPr>
      <w:numPr>
        <w:numId w:val="1"/>
      </w:numPr>
    </w:pPr>
  </w:style>
  <w:style w:type="paragraph" w:styleId="BalloonText">
    <w:name w:val="Balloon Text"/>
    <w:basedOn w:val="Normal"/>
    <w:link w:val="BalloonTextChar"/>
    <w:rsid w:val="00ED2598"/>
    <w:rPr>
      <w:rFonts w:ascii="Tahoma" w:hAnsi="Tahoma" w:cs="Tahoma"/>
      <w:sz w:val="16"/>
      <w:szCs w:val="16"/>
    </w:rPr>
  </w:style>
  <w:style w:type="character" w:customStyle="1" w:styleId="BalloonTextChar">
    <w:name w:val="Balloon Text Char"/>
    <w:basedOn w:val="DefaultParagraphFont"/>
    <w:link w:val="BalloonText"/>
    <w:rsid w:val="00ED2598"/>
    <w:rPr>
      <w:rFonts w:ascii="Tahoma" w:hAnsi="Tahoma" w:cs="Tahoma"/>
      <w:sz w:val="16"/>
      <w:szCs w:val="16"/>
      <w:lang w:val="en-US" w:eastAsia="en-US"/>
    </w:rPr>
  </w:style>
  <w:style w:type="character" w:customStyle="1" w:styleId="Heading1Char">
    <w:name w:val="Heading 1 Char"/>
    <w:basedOn w:val="DefaultParagraphFont"/>
    <w:link w:val="Heading1"/>
    <w:rsid w:val="007D3C58"/>
    <w:rPr>
      <w:rFonts w:asciiTheme="minorHAnsi" w:hAnsiTheme="minorHAnsi" w:cstheme="minorHAnsi"/>
      <w:b/>
      <w:color w:val="005CAB"/>
      <w:sz w:val="28"/>
      <w:szCs w:val="28"/>
      <w:lang w:eastAsia="en-US"/>
    </w:rPr>
  </w:style>
  <w:style w:type="paragraph" w:styleId="Subtitle">
    <w:name w:val="Subtitle"/>
    <w:basedOn w:val="Heading1"/>
    <w:next w:val="Normal"/>
    <w:link w:val="SubtitleChar"/>
    <w:qFormat/>
    <w:rsid w:val="0051633F"/>
    <w:pPr>
      <w:numPr>
        <w:ilvl w:val="1"/>
      </w:numPr>
      <w:spacing w:after="0"/>
    </w:pPr>
    <w:rPr>
      <w:sz w:val="24"/>
    </w:rPr>
  </w:style>
  <w:style w:type="character" w:customStyle="1" w:styleId="SubtitleChar">
    <w:name w:val="Subtitle Char"/>
    <w:basedOn w:val="DefaultParagraphFont"/>
    <w:link w:val="Subtitle"/>
    <w:rsid w:val="0051633F"/>
    <w:rPr>
      <w:rFonts w:asciiTheme="minorHAnsi" w:hAnsiTheme="minorHAnsi" w:cstheme="minorHAnsi"/>
      <w:b/>
      <w:color w:val="005CAB"/>
      <w:sz w:val="24"/>
      <w:szCs w:val="28"/>
      <w:lang w:eastAsia="en-US"/>
    </w:rPr>
  </w:style>
  <w:style w:type="numbering" w:customStyle="1" w:styleId="Style1">
    <w:name w:val="Style1"/>
    <w:uiPriority w:val="99"/>
    <w:rsid w:val="007409AD"/>
    <w:pPr>
      <w:numPr>
        <w:numId w:val="2"/>
      </w:numPr>
    </w:pPr>
  </w:style>
  <w:style w:type="paragraph" w:styleId="ListParagraph">
    <w:name w:val="List Paragraph"/>
    <w:basedOn w:val="Normal"/>
    <w:uiPriority w:val="34"/>
    <w:qFormat/>
    <w:rsid w:val="007409AD"/>
    <w:pPr>
      <w:ind w:left="720"/>
      <w:contextualSpacing/>
    </w:pPr>
  </w:style>
  <w:style w:type="character" w:customStyle="1" w:styleId="HeaderChar">
    <w:name w:val="Header Char"/>
    <w:basedOn w:val="DefaultParagraphFont"/>
    <w:link w:val="Header"/>
    <w:uiPriority w:val="99"/>
    <w:rsid w:val="005E4AD3"/>
    <w:rPr>
      <w:sz w:val="24"/>
      <w:szCs w:val="24"/>
      <w:lang w:val="en-US" w:eastAsia="en-US"/>
    </w:rPr>
  </w:style>
  <w:style w:type="character" w:customStyle="1" w:styleId="FooterChar">
    <w:name w:val="Footer Char"/>
    <w:basedOn w:val="DefaultParagraphFont"/>
    <w:link w:val="Footer"/>
    <w:uiPriority w:val="99"/>
    <w:rsid w:val="005E4AD3"/>
    <w:rPr>
      <w:sz w:val="24"/>
      <w:szCs w:val="24"/>
      <w:lang w:val="en-US" w:eastAsia="en-US"/>
    </w:rPr>
  </w:style>
  <w:style w:type="paragraph" w:styleId="TOCHeading">
    <w:name w:val="TOC Heading"/>
    <w:basedOn w:val="Heading1"/>
    <w:next w:val="Normal"/>
    <w:uiPriority w:val="39"/>
    <w:unhideWhenUsed/>
    <w:qFormat/>
    <w:rsid w:val="0096232E"/>
    <w:pPr>
      <w:numPr>
        <w:numId w:val="0"/>
      </w:numPr>
      <w:outlineLvl w:val="9"/>
    </w:pPr>
  </w:style>
  <w:style w:type="paragraph" w:styleId="TOC1">
    <w:name w:val="toc 1"/>
    <w:basedOn w:val="Normal"/>
    <w:next w:val="Normal"/>
    <w:autoRedefine/>
    <w:uiPriority w:val="39"/>
    <w:qFormat/>
    <w:rsid w:val="007204AF"/>
    <w:pPr>
      <w:tabs>
        <w:tab w:val="right" w:leader="dot" w:pos="9629"/>
      </w:tabs>
      <w:spacing w:before="100" w:after="100"/>
    </w:pPr>
    <w:rPr>
      <w:b/>
    </w:rPr>
  </w:style>
  <w:style w:type="character" w:styleId="Hyperlink">
    <w:name w:val="Hyperlink"/>
    <w:basedOn w:val="DefaultParagraphFont"/>
    <w:uiPriority w:val="99"/>
    <w:unhideWhenUsed/>
    <w:rsid w:val="0096232E"/>
    <w:rPr>
      <w:color w:val="0000FF" w:themeColor="hyperlink"/>
      <w:u w:val="single"/>
    </w:rPr>
  </w:style>
  <w:style w:type="paragraph" w:styleId="BodyText">
    <w:name w:val="Body Text"/>
    <w:basedOn w:val="Normal"/>
    <w:link w:val="BodyTextChar"/>
    <w:rsid w:val="002D6045"/>
    <w:rPr>
      <w:rFonts w:ascii="Arial" w:hAnsi="Arial"/>
      <w:i/>
      <w:szCs w:val="20"/>
      <w:lang w:val="en-NZ"/>
    </w:rPr>
  </w:style>
  <w:style w:type="character" w:customStyle="1" w:styleId="BodyTextChar">
    <w:name w:val="Body Text Char"/>
    <w:basedOn w:val="DefaultParagraphFont"/>
    <w:link w:val="BodyText"/>
    <w:rsid w:val="002D6045"/>
    <w:rPr>
      <w:rFonts w:ascii="Arial" w:hAnsi="Arial"/>
      <w:i/>
      <w:sz w:val="24"/>
      <w:lang w:val="en-NZ" w:eastAsia="en-US"/>
    </w:rPr>
  </w:style>
  <w:style w:type="paragraph" w:customStyle="1" w:styleId="PABullet1">
    <w:name w:val="PA Bullet 1"/>
    <w:basedOn w:val="Normal"/>
    <w:rsid w:val="00D74093"/>
    <w:pPr>
      <w:numPr>
        <w:numId w:val="3"/>
      </w:numPr>
      <w:spacing w:before="120" w:line="320" w:lineRule="exact"/>
    </w:pPr>
    <w:rPr>
      <w:rFonts w:ascii="Arial" w:hAnsi="Arial"/>
      <w:sz w:val="20"/>
      <w:szCs w:val="20"/>
    </w:rPr>
  </w:style>
  <w:style w:type="paragraph" w:customStyle="1" w:styleId="CVbullet">
    <w:name w:val="CV bullet"/>
    <w:basedOn w:val="PABullet1"/>
    <w:rsid w:val="00D74093"/>
  </w:style>
  <w:style w:type="paragraph" w:styleId="NormalWeb">
    <w:name w:val="Normal (Web)"/>
    <w:basedOn w:val="Normal"/>
    <w:uiPriority w:val="99"/>
    <w:unhideWhenUsed/>
    <w:rsid w:val="008341BC"/>
    <w:pPr>
      <w:spacing w:before="100" w:beforeAutospacing="1" w:after="100" w:afterAutospacing="1"/>
    </w:pPr>
    <w:rPr>
      <w:lang w:eastAsia="en-GB"/>
    </w:rPr>
  </w:style>
  <w:style w:type="paragraph" w:styleId="TOC2">
    <w:name w:val="toc 2"/>
    <w:basedOn w:val="Normal"/>
    <w:next w:val="Normal"/>
    <w:autoRedefine/>
    <w:uiPriority w:val="39"/>
    <w:unhideWhenUsed/>
    <w:qFormat/>
    <w:rsid w:val="007204AF"/>
    <w:pPr>
      <w:spacing w:after="0"/>
      <w:ind w:left="788"/>
    </w:pPr>
    <w:rPr>
      <w:rFonts w:eastAsiaTheme="minorEastAsia" w:cstheme="minorBidi"/>
      <w:sz w:val="20"/>
    </w:rPr>
  </w:style>
  <w:style w:type="paragraph" w:styleId="TOC3">
    <w:name w:val="toc 3"/>
    <w:basedOn w:val="Normal"/>
    <w:next w:val="Normal"/>
    <w:autoRedefine/>
    <w:uiPriority w:val="39"/>
    <w:unhideWhenUsed/>
    <w:qFormat/>
    <w:rsid w:val="004C369C"/>
    <w:pPr>
      <w:spacing w:after="0"/>
      <w:ind w:left="442"/>
    </w:pPr>
    <w:rPr>
      <w:rFonts w:eastAsiaTheme="minorEastAsia" w:cstheme="minorBidi"/>
      <w:sz w:val="20"/>
    </w:rPr>
  </w:style>
  <w:style w:type="paragraph" w:styleId="DocumentMap">
    <w:name w:val="Document Map"/>
    <w:basedOn w:val="Normal"/>
    <w:link w:val="DocumentMapChar"/>
    <w:rsid w:val="00C44A36"/>
    <w:rPr>
      <w:rFonts w:ascii="Tahoma" w:hAnsi="Tahoma" w:cs="Tahoma"/>
      <w:sz w:val="16"/>
      <w:szCs w:val="16"/>
    </w:rPr>
  </w:style>
  <w:style w:type="character" w:customStyle="1" w:styleId="DocumentMapChar">
    <w:name w:val="Document Map Char"/>
    <w:basedOn w:val="DefaultParagraphFont"/>
    <w:link w:val="DocumentMap"/>
    <w:rsid w:val="00C44A36"/>
    <w:rPr>
      <w:rFonts w:ascii="Tahoma" w:hAnsi="Tahoma" w:cs="Tahoma"/>
      <w:sz w:val="16"/>
      <w:szCs w:val="16"/>
      <w:lang w:val="en-US" w:eastAsia="en-US"/>
    </w:rPr>
  </w:style>
  <w:style w:type="paragraph" w:styleId="Title">
    <w:name w:val="Title"/>
    <w:basedOn w:val="Normal"/>
    <w:next w:val="Normal"/>
    <w:link w:val="TitleChar"/>
    <w:rsid w:val="002C703B"/>
    <w:pPr>
      <w:jc w:val="center"/>
    </w:pPr>
    <w:rPr>
      <w:rFonts w:cstheme="minorHAnsi"/>
      <w:b/>
      <w:color w:val="005CAB"/>
      <w:sz w:val="44"/>
      <w:szCs w:val="48"/>
    </w:rPr>
  </w:style>
  <w:style w:type="character" w:customStyle="1" w:styleId="TitleChar">
    <w:name w:val="Title Char"/>
    <w:basedOn w:val="DefaultParagraphFont"/>
    <w:link w:val="Title"/>
    <w:rsid w:val="002C703B"/>
    <w:rPr>
      <w:rFonts w:asciiTheme="minorHAnsi" w:hAnsiTheme="minorHAnsi" w:cstheme="minorHAnsi"/>
      <w:b/>
      <w:color w:val="005CAB"/>
      <w:sz w:val="44"/>
      <w:szCs w:val="48"/>
      <w:lang w:eastAsia="en-US"/>
    </w:rPr>
  </w:style>
  <w:style w:type="character" w:styleId="PlaceholderText">
    <w:name w:val="Placeholder Text"/>
    <w:basedOn w:val="DefaultParagraphFont"/>
    <w:uiPriority w:val="99"/>
    <w:semiHidden/>
    <w:rsid w:val="00C95A1E"/>
    <w:rPr>
      <w:color w:val="808080"/>
    </w:rPr>
  </w:style>
  <w:style w:type="paragraph" w:customStyle="1" w:styleId="subtext">
    <w:name w:val="subtext"/>
    <w:basedOn w:val="Normal"/>
    <w:link w:val="subtextChar"/>
    <w:qFormat/>
    <w:rsid w:val="00AE248B"/>
    <w:pPr>
      <w:ind w:left="1134"/>
    </w:pPr>
  </w:style>
  <w:style w:type="character" w:styleId="BookTitle">
    <w:name w:val="Book Title"/>
    <w:basedOn w:val="DefaultParagraphFont"/>
    <w:uiPriority w:val="33"/>
    <w:qFormat/>
    <w:rsid w:val="00FA4EA8"/>
    <w:rPr>
      <w:b/>
      <w:bCs/>
      <w:smallCaps/>
      <w:spacing w:val="5"/>
      <w:sz w:val="40"/>
    </w:rPr>
  </w:style>
  <w:style w:type="character" w:customStyle="1" w:styleId="subtextChar">
    <w:name w:val="subtext Char"/>
    <w:basedOn w:val="DefaultParagraphFont"/>
    <w:link w:val="subtext"/>
    <w:rsid w:val="00AE248B"/>
    <w:rPr>
      <w:rFonts w:asciiTheme="minorHAnsi" w:hAnsiTheme="minorHAnsi"/>
      <w:sz w:val="22"/>
      <w:szCs w:val="22"/>
      <w:lang w:eastAsia="en-US"/>
    </w:rPr>
  </w:style>
  <w:style w:type="character" w:styleId="CommentReference">
    <w:name w:val="annotation reference"/>
    <w:basedOn w:val="DefaultParagraphFont"/>
    <w:rsid w:val="00F96ED3"/>
    <w:rPr>
      <w:sz w:val="16"/>
      <w:szCs w:val="16"/>
    </w:rPr>
  </w:style>
  <w:style w:type="paragraph" w:styleId="CommentText">
    <w:name w:val="annotation text"/>
    <w:basedOn w:val="Normal"/>
    <w:link w:val="CommentTextChar"/>
    <w:rsid w:val="00F96ED3"/>
    <w:pPr>
      <w:spacing w:line="240" w:lineRule="auto"/>
    </w:pPr>
    <w:rPr>
      <w:sz w:val="20"/>
      <w:szCs w:val="20"/>
    </w:rPr>
  </w:style>
  <w:style w:type="character" w:customStyle="1" w:styleId="CommentTextChar">
    <w:name w:val="Comment Text Char"/>
    <w:basedOn w:val="DefaultParagraphFont"/>
    <w:link w:val="CommentText"/>
    <w:rsid w:val="00F96ED3"/>
    <w:rPr>
      <w:rFonts w:asciiTheme="minorHAnsi" w:hAnsiTheme="minorHAnsi"/>
      <w:lang w:eastAsia="en-US"/>
    </w:rPr>
  </w:style>
  <w:style w:type="table" w:styleId="GridTable4-Accent1">
    <w:name w:val="Grid Table 4 Accent 1"/>
    <w:basedOn w:val="TableNormal"/>
    <w:uiPriority w:val="49"/>
    <w:rsid w:val="00F96E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semiHidden/>
    <w:unhideWhenUsed/>
    <w:rsid w:val="00B71C4E"/>
    <w:rPr>
      <w:b/>
      <w:bCs/>
    </w:rPr>
  </w:style>
  <w:style w:type="character" w:customStyle="1" w:styleId="CommentSubjectChar">
    <w:name w:val="Comment Subject Char"/>
    <w:basedOn w:val="CommentTextChar"/>
    <w:link w:val="CommentSubject"/>
    <w:semiHidden/>
    <w:rsid w:val="00B71C4E"/>
    <w:rPr>
      <w:rFonts w:asciiTheme="minorHAnsi" w:hAnsiTheme="minorHAnsi"/>
      <w:b/>
      <w:bCs/>
      <w:lang w:eastAsia="en-US"/>
    </w:rPr>
  </w:style>
  <w:style w:type="character" w:customStyle="1" w:styleId="UnresolvedMention1">
    <w:name w:val="Unresolved Mention1"/>
    <w:basedOn w:val="DefaultParagraphFont"/>
    <w:uiPriority w:val="99"/>
    <w:semiHidden/>
    <w:unhideWhenUsed/>
    <w:rsid w:val="004433E6"/>
    <w:rPr>
      <w:color w:val="808080"/>
      <w:shd w:val="clear" w:color="auto" w:fill="E6E6E6"/>
    </w:rPr>
  </w:style>
  <w:style w:type="paragraph" w:customStyle="1" w:styleId="Appendices">
    <w:name w:val="Appendices"/>
    <w:basedOn w:val="Heading1"/>
    <w:qFormat/>
    <w:rsid w:val="004433E6"/>
    <w:pPr>
      <w:numPr>
        <w:numId w:val="0"/>
      </w:numPr>
      <w:ind w:left="360" w:hanging="360"/>
    </w:pPr>
  </w:style>
  <w:style w:type="character" w:customStyle="1" w:styleId="Heading2Char">
    <w:name w:val="Heading 2 Char"/>
    <w:basedOn w:val="DefaultParagraphFont"/>
    <w:link w:val="Heading2"/>
    <w:semiHidden/>
    <w:rsid w:val="004433E6"/>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4433E6"/>
    <w:rPr>
      <w:rFonts w:asciiTheme="majorHAnsi" w:eastAsiaTheme="majorEastAsia" w:hAnsiTheme="majorHAnsi" w:cstheme="majorBidi"/>
      <w:color w:val="243F60" w:themeColor="accent1" w:themeShade="7F"/>
      <w:sz w:val="24"/>
      <w:szCs w:val="24"/>
      <w:lang w:eastAsia="en-US"/>
    </w:rPr>
  </w:style>
  <w:style w:type="character" w:styleId="FollowedHyperlink">
    <w:name w:val="FollowedHyperlink"/>
    <w:basedOn w:val="DefaultParagraphFont"/>
    <w:semiHidden/>
    <w:unhideWhenUsed/>
    <w:rsid w:val="006B3541"/>
    <w:rPr>
      <w:color w:val="800080" w:themeColor="followedHyperlink"/>
      <w:u w:val="single"/>
    </w:rPr>
  </w:style>
  <w:style w:type="character" w:customStyle="1" w:styleId="apple-converted-space">
    <w:name w:val="apple-converted-space"/>
    <w:basedOn w:val="DefaultParagraphFont"/>
    <w:rsid w:val="007239B8"/>
  </w:style>
  <w:style w:type="table" w:styleId="GridTable5Dark-Accent1">
    <w:name w:val="Grid Table 5 Dark Accent 1"/>
    <w:basedOn w:val="TableNormal"/>
    <w:uiPriority w:val="50"/>
    <w:rsid w:val="00376F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2-Accent1">
    <w:name w:val="Grid Table 2 Accent 1"/>
    <w:basedOn w:val="TableNormal"/>
    <w:uiPriority w:val="47"/>
    <w:rsid w:val="00276C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580B95"/>
    <w:rPr>
      <w:rFonts w:asciiTheme="minorHAnsi" w:hAnsiTheme="minorHAnsi"/>
      <w:sz w:val="22"/>
      <w:szCs w:val="22"/>
      <w:lang w:eastAsia="en-US"/>
    </w:rPr>
  </w:style>
  <w:style w:type="paragraph" w:styleId="EndnoteText">
    <w:name w:val="endnote text"/>
    <w:basedOn w:val="Normal"/>
    <w:link w:val="EndnoteTextChar"/>
    <w:semiHidden/>
    <w:unhideWhenUsed/>
    <w:rsid w:val="00A4135E"/>
    <w:pPr>
      <w:spacing w:after="0" w:line="240" w:lineRule="auto"/>
    </w:pPr>
    <w:rPr>
      <w:sz w:val="20"/>
      <w:szCs w:val="20"/>
    </w:rPr>
  </w:style>
  <w:style w:type="character" w:customStyle="1" w:styleId="EndnoteTextChar">
    <w:name w:val="Endnote Text Char"/>
    <w:basedOn w:val="DefaultParagraphFont"/>
    <w:link w:val="EndnoteText"/>
    <w:semiHidden/>
    <w:rsid w:val="00A4135E"/>
    <w:rPr>
      <w:rFonts w:asciiTheme="minorHAnsi" w:hAnsiTheme="minorHAnsi"/>
      <w:lang w:eastAsia="en-US"/>
    </w:rPr>
  </w:style>
  <w:style w:type="character" w:styleId="EndnoteReference">
    <w:name w:val="endnote reference"/>
    <w:basedOn w:val="DefaultParagraphFont"/>
    <w:semiHidden/>
    <w:unhideWhenUsed/>
    <w:rsid w:val="00A4135E"/>
    <w:rPr>
      <w:vertAlign w:val="superscript"/>
    </w:rPr>
  </w:style>
  <w:style w:type="paragraph" w:styleId="FootnoteText">
    <w:name w:val="footnote text"/>
    <w:basedOn w:val="Normal"/>
    <w:link w:val="FootnoteTextChar"/>
    <w:semiHidden/>
    <w:unhideWhenUsed/>
    <w:rsid w:val="00A4135E"/>
    <w:pPr>
      <w:spacing w:after="0" w:line="240" w:lineRule="auto"/>
    </w:pPr>
    <w:rPr>
      <w:sz w:val="20"/>
      <w:szCs w:val="20"/>
    </w:rPr>
  </w:style>
  <w:style w:type="character" w:customStyle="1" w:styleId="FootnoteTextChar">
    <w:name w:val="Footnote Text Char"/>
    <w:basedOn w:val="DefaultParagraphFont"/>
    <w:link w:val="FootnoteText"/>
    <w:semiHidden/>
    <w:rsid w:val="00A4135E"/>
    <w:rPr>
      <w:rFonts w:asciiTheme="minorHAnsi" w:hAnsiTheme="minorHAnsi"/>
      <w:lang w:eastAsia="en-US"/>
    </w:rPr>
  </w:style>
  <w:style w:type="character" w:styleId="FootnoteReference">
    <w:name w:val="footnote reference"/>
    <w:basedOn w:val="DefaultParagraphFont"/>
    <w:semiHidden/>
    <w:unhideWhenUsed/>
    <w:rsid w:val="00A4135E"/>
    <w:rPr>
      <w:vertAlign w:val="superscript"/>
    </w:rPr>
  </w:style>
  <w:style w:type="character" w:styleId="UnresolvedMention">
    <w:name w:val="Unresolved Mention"/>
    <w:basedOn w:val="DefaultParagraphFont"/>
    <w:uiPriority w:val="99"/>
    <w:semiHidden/>
    <w:unhideWhenUsed/>
    <w:rsid w:val="00BA63DE"/>
    <w:rPr>
      <w:color w:val="808080"/>
      <w:shd w:val="clear" w:color="auto" w:fill="E6E6E6"/>
    </w:rPr>
  </w:style>
  <w:style w:type="table" w:styleId="GridTable1Light-Accent6">
    <w:name w:val="Grid Table 1 Light Accent 6"/>
    <w:basedOn w:val="TableNormal"/>
    <w:uiPriority w:val="46"/>
    <w:rsid w:val="002512F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5Dark-Accent11">
    <w:name w:val="Grid Table 5 Dark - Accent 11"/>
    <w:basedOn w:val="TableNormal"/>
    <w:next w:val="GridTable5Dark-Accent1"/>
    <w:uiPriority w:val="50"/>
    <w:rsid w:val="001824D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2">
    <w:name w:val="Grid Table 5 Dark - Accent 12"/>
    <w:basedOn w:val="TableNormal"/>
    <w:next w:val="GridTable5Dark-Accent1"/>
    <w:uiPriority w:val="50"/>
    <w:rsid w:val="001824D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Style2">
    <w:name w:val="Style2"/>
    <w:basedOn w:val="Subtitle"/>
    <w:qFormat/>
    <w:rsid w:val="002D3AFE"/>
    <w:pPr>
      <w:numPr>
        <w:ilvl w:val="0"/>
        <w:numId w:val="0"/>
      </w:numPr>
      <w:ind w:left="1152" w:hanging="432"/>
    </w:pPr>
    <w:rPr>
      <w:i/>
      <w:color w:val="auto"/>
    </w:rPr>
  </w:style>
  <w:style w:type="paragraph" w:customStyle="1" w:styleId="Style3">
    <w:name w:val="Style3"/>
    <w:basedOn w:val="Subtitle"/>
    <w:qFormat/>
    <w:rsid w:val="00F6765F"/>
    <w:pPr>
      <w:numPr>
        <w:ilvl w:val="0"/>
        <w:numId w:val="0"/>
      </w:numPr>
      <w:ind w:left="1152" w:hanging="43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0980">
      <w:bodyDiv w:val="1"/>
      <w:marLeft w:val="0"/>
      <w:marRight w:val="0"/>
      <w:marTop w:val="0"/>
      <w:marBottom w:val="0"/>
      <w:divBdr>
        <w:top w:val="none" w:sz="0" w:space="0" w:color="auto"/>
        <w:left w:val="none" w:sz="0" w:space="0" w:color="auto"/>
        <w:bottom w:val="none" w:sz="0" w:space="0" w:color="auto"/>
        <w:right w:val="none" w:sz="0" w:space="0" w:color="auto"/>
      </w:divBdr>
    </w:div>
    <w:div w:id="75442731">
      <w:bodyDiv w:val="1"/>
      <w:marLeft w:val="0"/>
      <w:marRight w:val="0"/>
      <w:marTop w:val="0"/>
      <w:marBottom w:val="0"/>
      <w:divBdr>
        <w:top w:val="none" w:sz="0" w:space="0" w:color="auto"/>
        <w:left w:val="none" w:sz="0" w:space="0" w:color="auto"/>
        <w:bottom w:val="none" w:sz="0" w:space="0" w:color="auto"/>
        <w:right w:val="none" w:sz="0" w:space="0" w:color="auto"/>
      </w:divBdr>
    </w:div>
    <w:div w:id="87317166">
      <w:bodyDiv w:val="1"/>
      <w:marLeft w:val="0"/>
      <w:marRight w:val="0"/>
      <w:marTop w:val="0"/>
      <w:marBottom w:val="0"/>
      <w:divBdr>
        <w:top w:val="none" w:sz="0" w:space="0" w:color="auto"/>
        <w:left w:val="none" w:sz="0" w:space="0" w:color="auto"/>
        <w:bottom w:val="none" w:sz="0" w:space="0" w:color="auto"/>
        <w:right w:val="none" w:sz="0" w:space="0" w:color="auto"/>
      </w:divBdr>
    </w:div>
    <w:div w:id="95292554">
      <w:bodyDiv w:val="1"/>
      <w:marLeft w:val="0"/>
      <w:marRight w:val="0"/>
      <w:marTop w:val="0"/>
      <w:marBottom w:val="0"/>
      <w:divBdr>
        <w:top w:val="none" w:sz="0" w:space="0" w:color="auto"/>
        <w:left w:val="none" w:sz="0" w:space="0" w:color="auto"/>
        <w:bottom w:val="none" w:sz="0" w:space="0" w:color="auto"/>
        <w:right w:val="none" w:sz="0" w:space="0" w:color="auto"/>
      </w:divBdr>
    </w:div>
    <w:div w:id="150102179">
      <w:bodyDiv w:val="1"/>
      <w:marLeft w:val="0"/>
      <w:marRight w:val="0"/>
      <w:marTop w:val="0"/>
      <w:marBottom w:val="0"/>
      <w:divBdr>
        <w:top w:val="none" w:sz="0" w:space="0" w:color="auto"/>
        <w:left w:val="none" w:sz="0" w:space="0" w:color="auto"/>
        <w:bottom w:val="none" w:sz="0" w:space="0" w:color="auto"/>
        <w:right w:val="none" w:sz="0" w:space="0" w:color="auto"/>
      </w:divBdr>
    </w:div>
    <w:div w:id="154419534">
      <w:bodyDiv w:val="1"/>
      <w:marLeft w:val="0"/>
      <w:marRight w:val="0"/>
      <w:marTop w:val="0"/>
      <w:marBottom w:val="0"/>
      <w:divBdr>
        <w:top w:val="none" w:sz="0" w:space="0" w:color="auto"/>
        <w:left w:val="none" w:sz="0" w:space="0" w:color="auto"/>
        <w:bottom w:val="none" w:sz="0" w:space="0" w:color="auto"/>
        <w:right w:val="none" w:sz="0" w:space="0" w:color="auto"/>
      </w:divBdr>
    </w:div>
    <w:div w:id="247815252">
      <w:bodyDiv w:val="1"/>
      <w:marLeft w:val="0"/>
      <w:marRight w:val="0"/>
      <w:marTop w:val="0"/>
      <w:marBottom w:val="0"/>
      <w:divBdr>
        <w:top w:val="none" w:sz="0" w:space="0" w:color="auto"/>
        <w:left w:val="none" w:sz="0" w:space="0" w:color="auto"/>
        <w:bottom w:val="none" w:sz="0" w:space="0" w:color="auto"/>
        <w:right w:val="none" w:sz="0" w:space="0" w:color="auto"/>
      </w:divBdr>
    </w:div>
    <w:div w:id="282158659">
      <w:bodyDiv w:val="1"/>
      <w:marLeft w:val="0"/>
      <w:marRight w:val="0"/>
      <w:marTop w:val="0"/>
      <w:marBottom w:val="0"/>
      <w:divBdr>
        <w:top w:val="none" w:sz="0" w:space="0" w:color="auto"/>
        <w:left w:val="none" w:sz="0" w:space="0" w:color="auto"/>
        <w:bottom w:val="none" w:sz="0" w:space="0" w:color="auto"/>
        <w:right w:val="none" w:sz="0" w:space="0" w:color="auto"/>
      </w:divBdr>
    </w:div>
    <w:div w:id="403837799">
      <w:bodyDiv w:val="1"/>
      <w:marLeft w:val="0"/>
      <w:marRight w:val="0"/>
      <w:marTop w:val="0"/>
      <w:marBottom w:val="0"/>
      <w:divBdr>
        <w:top w:val="none" w:sz="0" w:space="0" w:color="auto"/>
        <w:left w:val="none" w:sz="0" w:space="0" w:color="auto"/>
        <w:bottom w:val="none" w:sz="0" w:space="0" w:color="auto"/>
        <w:right w:val="none" w:sz="0" w:space="0" w:color="auto"/>
      </w:divBdr>
    </w:div>
    <w:div w:id="506139966">
      <w:bodyDiv w:val="1"/>
      <w:marLeft w:val="0"/>
      <w:marRight w:val="0"/>
      <w:marTop w:val="0"/>
      <w:marBottom w:val="0"/>
      <w:divBdr>
        <w:top w:val="none" w:sz="0" w:space="0" w:color="auto"/>
        <w:left w:val="none" w:sz="0" w:space="0" w:color="auto"/>
        <w:bottom w:val="none" w:sz="0" w:space="0" w:color="auto"/>
        <w:right w:val="none" w:sz="0" w:space="0" w:color="auto"/>
      </w:divBdr>
    </w:div>
    <w:div w:id="582221892">
      <w:bodyDiv w:val="1"/>
      <w:marLeft w:val="0"/>
      <w:marRight w:val="0"/>
      <w:marTop w:val="0"/>
      <w:marBottom w:val="0"/>
      <w:divBdr>
        <w:top w:val="none" w:sz="0" w:space="0" w:color="auto"/>
        <w:left w:val="none" w:sz="0" w:space="0" w:color="auto"/>
        <w:bottom w:val="none" w:sz="0" w:space="0" w:color="auto"/>
        <w:right w:val="none" w:sz="0" w:space="0" w:color="auto"/>
      </w:divBdr>
    </w:div>
    <w:div w:id="593130080">
      <w:bodyDiv w:val="1"/>
      <w:marLeft w:val="0"/>
      <w:marRight w:val="0"/>
      <w:marTop w:val="0"/>
      <w:marBottom w:val="0"/>
      <w:divBdr>
        <w:top w:val="none" w:sz="0" w:space="0" w:color="auto"/>
        <w:left w:val="none" w:sz="0" w:space="0" w:color="auto"/>
        <w:bottom w:val="none" w:sz="0" w:space="0" w:color="auto"/>
        <w:right w:val="none" w:sz="0" w:space="0" w:color="auto"/>
      </w:divBdr>
    </w:div>
    <w:div w:id="683702201">
      <w:bodyDiv w:val="1"/>
      <w:marLeft w:val="0"/>
      <w:marRight w:val="0"/>
      <w:marTop w:val="0"/>
      <w:marBottom w:val="0"/>
      <w:divBdr>
        <w:top w:val="none" w:sz="0" w:space="0" w:color="auto"/>
        <w:left w:val="none" w:sz="0" w:space="0" w:color="auto"/>
        <w:bottom w:val="none" w:sz="0" w:space="0" w:color="auto"/>
        <w:right w:val="none" w:sz="0" w:space="0" w:color="auto"/>
      </w:divBdr>
    </w:div>
    <w:div w:id="739670419">
      <w:bodyDiv w:val="1"/>
      <w:marLeft w:val="0"/>
      <w:marRight w:val="0"/>
      <w:marTop w:val="0"/>
      <w:marBottom w:val="0"/>
      <w:divBdr>
        <w:top w:val="none" w:sz="0" w:space="0" w:color="auto"/>
        <w:left w:val="none" w:sz="0" w:space="0" w:color="auto"/>
        <w:bottom w:val="none" w:sz="0" w:space="0" w:color="auto"/>
        <w:right w:val="none" w:sz="0" w:space="0" w:color="auto"/>
      </w:divBdr>
    </w:div>
    <w:div w:id="754785502">
      <w:bodyDiv w:val="1"/>
      <w:marLeft w:val="0"/>
      <w:marRight w:val="0"/>
      <w:marTop w:val="0"/>
      <w:marBottom w:val="0"/>
      <w:divBdr>
        <w:top w:val="none" w:sz="0" w:space="0" w:color="auto"/>
        <w:left w:val="none" w:sz="0" w:space="0" w:color="auto"/>
        <w:bottom w:val="none" w:sz="0" w:space="0" w:color="auto"/>
        <w:right w:val="none" w:sz="0" w:space="0" w:color="auto"/>
      </w:divBdr>
    </w:div>
    <w:div w:id="764956399">
      <w:bodyDiv w:val="1"/>
      <w:marLeft w:val="0"/>
      <w:marRight w:val="0"/>
      <w:marTop w:val="0"/>
      <w:marBottom w:val="0"/>
      <w:divBdr>
        <w:top w:val="none" w:sz="0" w:space="0" w:color="auto"/>
        <w:left w:val="none" w:sz="0" w:space="0" w:color="auto"/>
        <w:bottom w:val="none" w:sz="0" w:space="0" w:color="auto"/>
        <w:right w:val="none" w:sz="0" w:space="0" w:color="auto"/>
      </w:divBdr>
    </w:div>
    <w:div w:id="1024014428">
      <w:bodyDiv w:val="1"/>
      <w:marLeft w:val="0"/>
      <w:marRight w:val="0"/>
      <w:marTop w:val="0"/>
      <w:marBottom w:val="0"/>
      <w:divBdr>
        <w:top w:val="none" w:sz="0" w:space="0" w:color="auto"/>
        <w:left w:val="none" w:sz="0" w:space="0" w:color="auto"/>
        <w:bottom w:val="none" w:sz="0" w:space="0" w:color="auto"/>
        <w:right w:val="none" w:sz="0" w:space="0" w:color="auto"/>
      </w:divBdr>
    </w:div>
    <w:div w:id="1073157561">
      <w:bodyDiv w:val="1"/>
      <w:marLeft w:val="0"/>
      <w:marRight w:val="0"/>
      <w:marTop w:val="0"/>
      <w:marBottom w:val="0"/>
      <w:divBdr>
        <w:top w:val="none" w:sz="0" w:space="0" w:color="auto"/>
        <w:left w:val="none" w:sz="0" w:space="0" w:color="auto"/>
        <w:bottom w:val="none" w:sz="0" w:space="0" w:color="auto"/>
        <w:right w:val="none" w:sz="0" w:space="0" w:color="auto"/>
      </w:divBdr>
    </w:div>
    <w:div w:id="1089814644">
      <w:bodyDiv w:val="1"/>
      <w:marLeft w:val="0"/>
      <w:marRight w:val="0"/>
      <w:marTop w:val="0"/>
      <w:marBottom w:val="0"/>
      <w:divBdr>
        <w:top w:val="none" w:sz="0" w:space="0" w:color="auto"/>
        <w:left w:val="none" w:sz="0" w:space="0" w:color="auto"/>
        <w:bottom w:val="none" w:sz="0" w:space="0" w:color="auto"/>
        <w:right w:val="none" w:sz="0" w:space="0" w:color="auto"/>
      </w:divBdr>
    </w:div>
    <w:div w:id="1115516690">
      <w:bodyDiv w:val="1"/>
      <w:marLeft w:val="0"/>
      <w:marRight w:val="0"/>
      <w:marTop w:val="0"/>
      <w:marBottom w:val="0"/>
      <w:divBdr>
        <w:top w:val="none" w:sz="0" w:space="0" w:color="auto"/>
        <w:left w:val="none" w:sz="0" w:space="0" w:color="auto"/>
        <w:bottom w:val="none" w:sz="0" w:space="0" w:color="auto"/>
        <w:right w:val="none" w:sz="0" w:space="0" w:color="auto"/>
      </w:divBdr>
    </w:div>
    <w:div w:id="1184638065">
      <w:bodyDiv w:val="1"/>
      <w:marLeft w:val="0"/>
      <w:marRight w:val="0"/>
      <w:marTop w:val="0"/>
      <w:marBottom w:val="0"/>
      <w:divBdr>
        <w:top w:val="none" w:sz="0" w:space="0" w:color="auto"/>
        <w:left w:val="none" w:sz="0" w:space="0" w:color="auto"/>
        <w:bottom w:val="none" w:sz="0" w:space="0" w:color="auto"/>
        <w:right w:val="none" w:sz="0" w:space="0" w:color="auto"/>
      </w:divBdr>
    </w:div>
    <w:div w:id="1223447068">
      <w:bodyDiv w:val="1"/>
      <w:marLeft w:val="0"/>
      <w:marRight w:val="0"/>
      <w:marTop w:val="0"/>
      <w:marBottom w:val="0"/>
      <w:divBdr>
        <w:top w:val="none" w:sz="0" w:space="0" w:color="auto"/>
        <w:left w:val="none" w:sz="0" w:space="0" w:color="auto"/>
        <w:bottom w:val="none" w:sz="0" w:space="0" w:color="auto"/>
        <w:right w:val="none" w:sz="0" w:space="0" w:color="auto"/>
      </w:divBdr>
    </w:div>
    <w:div w:id="1262488305">
      <w:bodyDiv w:val="1"/>
      <w:marLeft w:val="0"/>
      <w:marRight w:val="0"/>
      <w:marTop w:val="0"/>
      <w:marBottom w:val="0"/>
      <w:divBdr>
        <w:top w:val="none" w:sz="0" w:space="0" w:color="auto"/>
        <w:left w:val="none" w:sz="0" w:space="0" w:color="auto"/>
        <w:bottom w:val="none" w:sz="0" w:space="0" w:color="auto"/>
        <w:right w:val="none" w:sz="0" w:space="0" w:color="auto"/>
      </w:divBdr>
    </w:div>
    <w:div w:id="1354040199">
      <w:bodyDiv w:val="1"/>
      <w:marLeft w:val="0"/>
      <w:marRight w:val="0"/>
      <w:marTop w:val="0"/>
      <w:marBottom w:val="0"/>
      <w:divBdr>
        <w:top w:val="none" w:sz="0" w:space="0" w:color="auto"/>
        <w:left w:val="none" w:sz="0" w:space="0" w:color="auto"/>
        <w:bottom w:val="none" w:sz="0" w:space="0" w:color="auto"/>
        <w:right w:val="none" w:sz="0" w:space="0" w:color="auto"/>
      </w:divBdr>
    </w:div>
    <w:div w:id="1442603197">
      <w:bodyDiv w:val="1"/>
      <w:marLeft w:val="0"/>
      <w:marRight w:val="0"/>
      <w:marTop w:val="0"/>
      <w:marBottom w:val="0"/>
      <w:divBdr>
        <w:top w:val="none" w:sz="0" w:space="0" w:color="auto"/>
        <w:left w:val="none" w:sz="0" w:space="0" w:color="auto"/>
        <w:bottom w:val="none" w:sz="0" w:space="0" w:color="auto"/>
        <w:right w:val="none" w:sz="0" w:space="0" w:color="auto"/>
      </w:divBdr>
    </w:div>
    <w:div w:id="1510412687">
      <w:bodyDiv w:val="1"/>
      <w:marLeft w:val="0"/>
      <w:marRight w:val="0"/>
      <w:marTop w:val="0"/>
      <w:marBottom w:val="0"/>
      <w:divBdr>
        <w:top w:val="none" w:sz="0" w:space="0" w:color="auto"/>
        <w:left w:val="none" w:sz="0" w:space="0" w:color="auto"/>
        <w:bottom w:val="none" w:sz="0" w:space="0" w:color="auto"/>
        <w:right w:val="none" w:sz="0" w:space="0" w:color="auto"/>
      </w:divBdr>
    </w:div>
    <w:div w:id="1533230688">
      <w:bodyDiv w:val="1"/>
      <w:marLeft w:val="0"/>
      <w:marRight w:val="0"/>
      <w:marTop w:val="0"/>
      <w:marBottom w:val="0"/>
      <w:divBdr>
        <w:top w:val="none" w:sz="0" w:space="0" w:color="auto"/>
        <w:left w:val="none" w:sz="0" w:space="0" w:color="auto"/>
        <w:bottom w:val="none" w:sz="0" w:space="0" w:color="auto"/>
        <w:right w:val="none" w:sz="0" w:space="0" w:color="auto"/>
      </w:divBdr>
    </w:div>
    <w:div w:id="1562398330">
      <w:bodyDiv w:val="1"/>
      <w:marLeft w:val="0"/>
      <w:marRight w:val="0"/>
      <w:marTop w:val="0"/>
      <w:marBottom w:val="0"/>
      <w:divBdr>
        <w:top w:val="none" w:sz="0" w:space="0" w:color="auto"/>
        <w:left w:val="none" w:sz="0" w:space="0" w:color="auto"/>
        <w:bottom w:val="none" w:sz="0" w:space="0" w:color="auto"/>
        <w:right w:val="none" w:sz="0" w:space="0" w:color="auto"/>
      </w:divBdr>
    </w:div>
    <w:div w:id="1587032287">
      <w:bodyDiv w:val="1"/>
      <w:marLeft w:val="0"/>
      <w:marRight w:val="0"/>
      <w:marTop w:val="0"/>
      <w:marBottom w:val="0"/>
      <w:divBdr>
        <w:top w:val="none" w:sz="0" w:space="0" w:color="auto"/>
        <w:left w:val="none" w:sz="0" w:space="0" w:color="auto"/>
        <w:bottom w:val="none" w:sz="0" w:space="0" w:color="auto"/>
        <w:right w:val="none" w:sz="0" w:space="0" w:color="auto"/>
      </w:divBdr>
    </w:div>
    <w:div w:id="1587613987">
      <w:bodyDiv w:val="1"/>
      <w:marLeft w:val="0"/>
      <w:marRight w:val="0"/>
      <w:marTop w:val="0"/>
      <w:marBottom w:val="0"/>
      <w:divBdr>
        <w:top w:val="none" w:sz="0" w:space="0" w:color="auto"/>
        <w:left w:val="none" w:sz="0" w:space="0" w:color="auto"/>
        <w:bottom w:val="none" w:sz="0" w:space="0" w:color="auto"/>
        <w:right w:val="none" w:sz="0" w:space="0" w:color="auto"/>
      </w:divBdr>
    </w:div>
    <w:div w:id="1645433154">
      <w:bodyDiv w:val="1"/>
      <w:marLeft w:val="0"/>
      <w:marRight w:val="0"/>
      <w:marTop w:val="0"/>
      <w:marBottom w:val="0"/>
      <w:divBdr>
        <w:top w:val="none" w:sz="0" w:space="0" w:color="auto"/>
        <w:left w:val="none" w:sz="0" w:space="0" w:color="auto"/>
        <w:bottom w:val="none" w:sz="0" w:space="0" w:color="auto"/>
        <w:right w:val="none" w:sz="0" w:space="0" w:color="auto"/>
      </w:divBdr>
    </w:div>
    <w:div w:id="1659653048">
      <w:bodyDiv w:val="1"/>
      <w:marLeft w:val="0"/>
      <w:marRight w:val="0"/>
      <w:marTop w:val="0"/>
      <w:marBottom w:val="0"/>
      <w:divBdr>
        <w:top w:val="none" w:sz="0" w:space="0" w:color="auto"/>
        <w:left w:val="none" w:sz="0" w:space="0" w:color="auto"/>
        <w:bottom w:val="none" w:sz="0" w:space="0" w:color="auto"/>
        <w:right w:val="none" w:sz="0" w:space="0" w:color="auto"/>
      </w:divBdr>
    </w:div>
    <w:div w:id="1745105888">
      <w:bodyDiv w:val="1"/>
      <w:marLeft w:val="0"/>
      <w:marRight w:val="0"/>
      <w:marTop w:val="0"/>
      <w:marBottom w:val="0"/>
      <w:divBdr>
        <w:top w:val="none" w:sz="0" w:space="0" w:color="auto"/>
        <w:left w:val="none" w:sz="0" w:space="0" w:color="auto"/>
        <w:bottom w:val="none" w:sz="0" w:space="0" w:color="auto"/>
        <w:right w:val="none" w:sz="0" w:space="0" w:color="auto"/>
      </w:divBdr>
    </w:div>
    <w:div w:id="1750037621">
      <w:bodyDiv w:val="1"/>
      <w:marLeft w:val="0"/>
      <w:marRight w:val="0"/>
      <w:marTop w:val="0"/>
      <w:marBottom w:val="0"/>
      <w:divBdr>
        <w:top w:val="none" w:sz="0" w:space="0" w:color="auto"/>
        <w:left w:val="none" w:sz="0" w:space="0" w:color="auto"/>
        <w:bottom w:val="none" w:sz="0" w:space="0" w:color="auto"/>
        <w:right w:val="none" w:sz="0" w:space="0" w:color="auto"/>
      </w:divBdr>
    </w:div>
    <w:div w:id="1774277922">
      <w:bodyDiv w:val="1"/>
      <w:marLeft w:val="0"/>
      <w:marRight w:val="0"/>
      <w:marTop w:val="0"/>
      <w:marBottom w:val="0"/>
      <w:divBdr>
        <w:top w:val="none" w:sz="0" w:space="0" w:color="auto"/>
        <w:left w:val="none" w:sz="0" w:space="0" w:color="auto"/>
        <w:bottom w:val="none" w:sz="0" w:space="0" w:color="auto"/>
        <w:right w:val="none" w:sz="0" w:space="0" w:color="auto"/>
      </w:divBdr>
    </w:div>
    <w:div w:id="1845633194">
      <w:bodyDiv w:val="1"/>
      <w:marLeft w:val="0"/>
      <w:marRight w:val="0"/>
      <w:marTop w:val="0"/>
      <w:marBottom w:val="0"/>
      <w:divBdr>
        <w:top w:val="none" w:sz="0" w:space="0" w:color="auto"/>
        <w:left w:val="none" w:sz="0" w:space="0" w:color="auto"/>
        <w:bottom w:val="none" w:sz="0" w:space="0" w:color="auto"/>
        <w:right w:val="none" w:sz="0" w:space="0" w:color="auto"/>
      </w:divBdr>
    </w:div>
    <w:div w:id="1885604464">
      <w:bodyDiv w:val="1"/>
      <w:marLeft w:val="0"/>
      <w:marRight w:val="0"/>
      <w:marTop w:val="0"/>
      <w:marBottom w:val="0"/>
      <w:divBdr>
        <w:top w:val="none" w:sz="0" w:space="0" w:color="auto"/>
        <w:left w:val="none" w:sz="0" w:space="0" w:color="auto"/>
        <w:bottom w:val="none" w:sz="0" w:space="0" w:color="auto"/>
        <w:right w:val="none" w:sz="0" w:space="0" w:color="auto"/>
      </w:divBdr>
    </w:div>
    <w:div w:id="1894392778">
      <w:bodyDiv w:val="1"/>
      <w:marLeft w:val="0"/>
      <w:marRight w:val="0"/>
      <w:marTop w:val="0"/>
      <w:marBottom w:val="0"/>
      <w:divBdr>
        <w:top w:val="none" w:sz="0" w:space="0" w:color="auto"/>
        <w:left w:val="none" w:sz="0" w:space="0" w:color="auto"/>
        <w:bottom w:val="none" w:sz="0" w:space="0" w:color="auto"/>
        <w:right w:val="none" w:sz="0" w:space="0" w:color="auto"/>
      </w:divBdr>
    </w:div>
    <w:div w:id="1951428123">
      <w:bodyDiv w:val="1"/>
      <w:marLeft w:val="0"/>
      <w:marRight w:val="0"/>
      <w:marTop w:val="0"/>
      <w:marBottom w:val="0"/>
      <w:divBdr>
        <w:top w:val="none" w:sz="0" w:space="0" w:color="auto"/>
        <w:left w:val="none" w:sz="0" w:space="0" w:color="auto"/>
        <w:bottom w:val="none" w:sz="0" w:space="0" w:color="auto"/>
        <w:right w:val="none" w:sz="0" w:space="0" w:color="auto"/>
      </w:divBdr>
    </w:div>
    <w:div w:id="2008706429">
      <w:bodyDiv w:val="1"/>
      <w:marLeft w:val="0"/>
      <w:marRight w:val="0"/>
      <w:marTop w:val="0"/>
      <w:marBottom w:val="0"/>
      <w:divBdr>
        <w:top w:val="none" w:sz="0" w:space="0" w:color="auto"/>
        <w:left w:val="none" w:sz="0" w:space="0" w:color="auto"/>
        <w:bottom w:val="none" w:sz="0" w:space="0" w:color="auto"/>
        <w:right w:val="none" w:sz="0" w:space="0" w:color="auto"/>
      </w:divBdr>
    </w:div>
    <w:div w:id="2058043854">
      <w:bodyDiv w:val="1"/>
      <w:marLeft w:val="0"/>
      <w:marRight w:val="0"/>
      <w:marTop w:val="0"/>
      <w:marBottom w:val="0"/>
      <w:divBdr>
        <w:top w:val="none" w:sz="0" w:space="0" w:color="auto"/>
        <w:left w:val="none" w:sz="0" w:space="0" w:color="auto"/>
        <w:bottom w:val="none" w:sz="0" w:space="0" w:color="auto"/>
        <w:right w:val="none" w:sz="0" w:space="0" w:color="auto"/>
      </w:divBdr>
    </w:div>
    <w:div w:id="2074884563">
      <w:bodyDiv w:val="1"/>
      <w:marLeft w:val="0"/>
      <w:marRight w:val="0"/>
      <w:marTop w:val="0"/>
      <w:marBottom w:val="0"/>
      <w:divBdr>
        <w:top w:val="none" w:sz="0" w:space="0" w:color="auto"/>
        <w:left w:val="none" w:sz="0" w:space="0" w:color="auto"/>
        <w:bottom w:val="none" w:sz="0" w:space="0" w:color="auto"/>
        <w:right w:val="none" w:sz="0" w:space="0" w:color="auto"/>
      </w:divBdr>
    </w:div>
    <w:div w:id="21153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10/29/pdfs/ukpga_20100029_en.pdf" TargetMode="External"/><Relationship Id="rId18" Type="http://schemas.openxmlformats.org/officeDocument/2006/relationships/hyperlink" Target="https://www.gov.uk/guidance/flood-risk-and-coastal-change"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apps.environment-agency.gov.uk/wiyby/cy/151263.aspx" TargetMode="External"/><Relationship Id="rId17" Type="http://schemas.openxmlformats.org/officeDocument/2006/relationships/hyperlink" Target="http://www.legislation.gov.uk/ukpga/2010/29/pdfs/ukpga_20100029_en.pdf" TargetMode="External"/><Relationship Id="rId2" Type="http://schemas.openxmlformats.org/officeDocument/2006/relationships/customXml" Target="../customXml/item2.xml"/><Relationship Id="rId16" Type="http://schemas.openxmlformats.org/officeDocument/2006/relationships/hyperlink" Target="https://www.gov.uk/guidance/flood-risk-and-coastal-chan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flood-risk-and-coastal-change" TargetMode="External"/><Relationship Id="rId5" Type="http://schemas.openxmlformats.org/officeDocument/2006/relationships/settings" Target="settings.xml"/><Relationship Id="rId15" Type="http://schemas.openxmlformats.org/officeDocument/2006/relationships/hyperlink" Target="http://www.legislation.gov.uk/uksi/2015/595/pdfs/uksi_20150595_en.pdf" TargetMode="External"/><Relationship Id="rId23" Type="http://schemas.openxmlformats.org/officeDocument/2006/relationships/theme" Target="theme/theme1.xml"/><Relationship Id="rId10" Type="http://schemas.openxmlformats.org/officeDocument/2006/relationships/hyperlink" Target="https://www.gov.uk/guidance/flood-risk-and-coastal-chang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uidance/flood-risk-and-coastal-change" TargetMode="External"/><Relationship Id="rId14" Type="http://schemas.openxmlformats.org/officeDocument/2006/relationships/hyperlink" Target="http://apps.environment-agency.gov.uk/wiyby/151293.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MetisDB)\Metis\Corporate\Templates\Report%20Templates\Metis%20Report%20-%20Template%20Mar'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FCB81-E9D9-4BA3-98E5-F77B9684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Metis Report - Template Mar'16.dotx</Template>
  <TotalTime>3</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Strategic Flood Risk Assessment - Level 1</vt:lpstr>
    </vt:vector>
  </TitlesOfParts>
  <Manager>Michael Arthur</Manager>
  <Company>London Boroughs of Barnet, Brent, Ealing, Harrow, Hillingdon and Hounslow</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Flood Risk Assessment - Level 1</dc:title>
  <dc:subject/>
  <dc:creator>Mike Mair and Damon Reid-Williams</dc:creator>
  <cp:keywords>April 2018</cp:keywords>
  <dc:description/>
  <cp:lastModifiedBy>Damon Reid-Williams</cp:lastModifiedBy>
  <cp:revision>3</cp:revision>
  <cp:lastPrinted>2018-04-27T15:35:00Z</cp:lastPrinted>
  <dcterms:created xsi:type="dcterms:W3CDTF">2019-03-18T16:09:00Z</dcterms:created>
  <dcterms:modified xsi:type="dcterms:W3CDTF">2019-03-18T16:13:00Z</dcterms:modified>
  <cp:category>1.4</cp:category>
</cp:coreProperties>
</file>